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olor w:val="000000"/>
          <w:kern w:val="0"/>
          <w:sz w:val="32"/>
          <w:szCs w:val="32"/>
        </w:rPr>
      </w:pPr>
      <w:r>
        <w:rPr>
          <w:rFonts w:ascii="Times New Roman" w:hAnsi="Times New Roman" w:eastAsia="黑体"/>
          <w:color w:val="000000"/>
          <w:kern w:val="0"/>
          <w:sz w:val="32"/>
          <w:szCs w:val="32"/>
        </w:rPr>
        <w:t>附件</w:t>
      </w:r>
      <w:r>
        <w:rPr>
          <w:rFonts w:hint="eastAsia" w:ascii="Times New Roman" w:hAnsi="Times New Roman" w:eastAsia="黑体"/>
          <w:color w:val="000000"/>
          <w:kern w:val="0"/>
          <w:sz w:val="32"/>
          <w:szCs w:val="32"/>
        </w:rPr>
        <w:t>3</w:t>
      </w:r>
    </w:p>
    <w:p>
      <w:pPr>
        <w:jc w:val="center"/>
        <w:rPr>
          <w:rFonts w:hint="eastAsia" w:eastAsia="小标宋"/>
          <w:sz w:val="32"/>
          <w:szCs w:val="32"/>
        </w:rPr>
      </w:pPr>
      <w:r>
        <w:rPr>
          <w:rFonts w:eastAsia="小标宋"/>
          <w:sz w:val="32"/>
          <w:szCs w:val="32"/>
        </w:rPr>
        <w:t>《</w:t>
      </w:r>
      <w:r>
        <w:rPr>
          <w:rFonts w:hint="eastAsia" w:ascii="黑体" w:hAnsi="黑体" w:eastAsia="黑体"/>
          <w:kern w:val="0"/>
          <w:sz w:val="32"/>
          <w:szCs w:val="32"/>
        </w:rPr>
        <w:t>***************************</w:t>
      </w:r>
      <w:r>
        <w:rPr>
          <w:rFonts w:eastAsia="小标宋"/>
          <w:sz w:val="32"/>
          <w:szCs w:val="32"/>
        </w:rPr>
        <w:t>》</w:t>
      </w:r>
    </w:p>
    <w:p>
      <w:pPr>
        <w:jc w:val="center"/>
        <w:rPr>
          <w:rFonts w:eastAsia="小标宋"/>
          <w:sz w:val="32"/>
          <w:szCs w:val="32"/>
        </w:rPr>
      </w:pPr>
      <w:r>
        <w:rPr>
          <w:rFonts w:hint="eastAsia" w:eastAsia="小标宋"/>
          <w:sz w:val="32"/>
          <w:szCs w:val="32"/>
        </w:rPr>
        <w:t>农业行业标准</w:t>
      </w:r>
      <w:r>
        <w:rPr>
          <w:rFonts w:eastAsia="小标宋"/>
          <w:sz w:val="32"/>
          <w:szCs w:val="32"/>
        </w:rPr>
        <w:t>编制说明</w:t>
      </w:r>
    </w:p>
    <w:p>
      <w:pPr>
        <w:jc w:val="center"/>
        <w:rPr>
          <w:rFonts w:hint="eastAsia" w:eastAsia="小标宋"/>
          <w:sz w:val="32"/>
          <w:szCs w:val="32"/>
        </w:rPr>
      </w:pPr>
      <w:r>
        <w:rPr>
          <w:rFonts w:hint="eastAsia" w:ascii="仿宋_GB2312" w:hAnsi="Times New Roman" w:eastAsia="仿宋_GB2312"/>
          <w:color w:val="000000"/>
          <w:kern w:val="0"/>
          <w:sz w:val="32"/>
          <w:szCs w:val="32"/>
        </w:rPr>
        <w:t>（草案阶段）</w:t>
      </w:r>
    </w:p>
    <w:p>
      <w:pPr>
        <w:spacing w:line="400" w:lineRule="exact"/>
        <w:rPr>
          <w:sz w:val="28"/>
          <w:szCs w:val="24"/>
        </w:rPr>
      </w:pPr>
      <w:r>
        <w:rPr>
          <w:rFonts w:hint="eastAsia"/>
          <w:b/>
          <w:sz w:val="28"/>
          <w:szCs w:val="24"/>
        </w:rPr>
        <w:t>承担</w:t>
      </w:r>
      <w:r>
        <w:rPr>
          <w:b/>
          <w:sz w:val="28"/>
          <w:szCs w:val="24"/>
        </w:rPr>
        <w:t>单位</w:t>
      </w:r>
      <w:r>
        <w:rPr>
          <w:sz w:val="28"/>
          <w:szCs w:val="24"/>
        </w:rPr>
        <w:t xml:space="preserve">： </w:t>
      </w:r>
    </w:p>
    <w:p>
      <w:pPr>
        <w:spacing w:line="400" w:lineRule="exact"/>
        <w:rPr>
          <w:rFonts w:hint="eastAsia"/>
          <w:b/>
          <w:sz w:val="28"/>
          <w:szCs w:val="24"/>
        </w:rPr>
      </w:pPr>
      <w:r>
        <w:rPr>
          <w:rFonts w:hint="eastAsia"/>
          <w:b/>
          <w:sz w:val="28"/>
          <w:szCs w:val="24"/>
        </w:rPr>
        <w:t xml:space="preserve">标准负责人：         </w:t>
      </w:r>
    </w:p>
    <w:p>
      <w:pPr>
        <w:spacing w:line="400" w:lineRule="exact"/>
        <w:rPr>
          <w:rFonts w:hint="eastAsia"/>
          <w:b/>
          <w:sz w:val="28"/>
          <w:szCs w:val="24"/>
        </w:rPr>
      </w:pPr>
      <w:r>
        <w:rPr>
          <w:rFonts w:hint="eastAsia"/>
          <w:b/>
          <w:sz w:val="28"/>
          <w:szCs w:val="24"/>
        </w:rPr>
        <w:t xml:space="preserve">联系电话：           </w:t>
      </w:r>
    </w:p>
    <w:p>
      <w:pPr>
        <w:spacing w:line="400" w:lineRule="exact"/>
        <w:rPr>
          <w:rFonts w:hint="eastAsia"/>
          <w:b/>
          <w:sz w:val="28"/>
          <w:szCs w:val="24"/>
        </w:rPr>
      </w:pPr>
      <w:r>
        <w:rPr>
          <w:rFonts w:hint="eastAsia"/>
          <w:b/>
          <w:sz w:val="28"/>
          <w:szCs w:val="24"/>
        </w:rPr>
        <w:t>邮箱：</w:t>
      </w:r>
    </w:p>
    <w:p>
      <w:pPr>
        <w:spacing w:line="540" w:lineRule="exact"/>
        <w:ind w:firstLine="420" w:firstLineChars="200"/>
        <w:rPr>
          <w:rFonts w:hint="eastAsia" w:eastAsia="黑体"/>
          <w:bCs/>
          <w:szCs w:val="28"/>
        </w:rPr>
      </w:pPr>
    </w:p>
    <w:p>
      <w:pPr>
        <w:spacing w:line="540" w:lineRule="exact"/>
        <w:ind w:firstLine="640" w:firstLineChars="20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一、工作简况</w:t>
      </w:r>
    </w:p>
    <w:p>
      <w:pPr>
        <w:spacing w:line="540" w:lineRule="exact"/>
        <w:ind w:left="98" w:leftChars="47" w:firstLine="280" w:firstLineChars="100"/>
        <w:rPr>
          <w:rFonts w:hint="eastAsia" w:ascii="Times New Roman" w:hAnsi="Times New Roman" w:eastAsia="黑体"/>
          <w:sz w:val="28"/>
          <w:szCs w:val="28"/>
        </w:rPr>
      </w:pPr>
      <w:r>
        <w:rPr>
          <w:rFonts w:hint="eastAsia" w:ascii="Times New Roman" w:hAnsi="Times New Roman" w:eastAsia="黑体"/>
          <w:sz w:val="28"/>
          <w:szCs w:val="28"/>
        </w:rPr>
        <w:t>（一）立项必要性和依据</w:t>
      </w:r>
    </w:p>
    <w:p>
      <w:pPr>
        <w:pStyle w:val="3"/>
        <w:ind w:firstLine="560"/>
        <w:rPr>
          <w:rFonts w:hint="eastAsia" w:hAnsi="仿宋_GB2312" w:eastAsia="仿宋_GB2312" w:cs="仿宋_GB2312"/>
          <w:snapToGrid w:val="0"/>
          <w:color w:val="000000"/>
          <w:kern w:val="0"/>
          <w:sz w:val="28"/>
          <w:szCs w:val="28"/>
        </w:rPr>
      </w:pPr>
      <w:r>
        <w:rPr>
          <w:rFonts w:hint="eastAsia" w:hAnsi="仿宋_GB2312" w:eastAsia="仿宋_GB2312" w:cs="仿宋_GB2312"/>
          <w:snapToGrid w:val="0"/>
          <w:color w:val="000000"/>
          <w:kern w:val="0"/>
          <w:sz w:val="28"/>
          <w:szCs w:val="28"/>
        </w:rPr>
        <w:t>国家政策和技术依据，拟解决的主要问题</w:t>
      </w:r>
    </w:p>
    <w:p>
      <w:pPr>
        <w:spacing w:line="500" w:lineRule="exact"/>
        <w:ind w:left="100" w:leftChars="48" w:right="23" w:rightChars="11" w:firstLine="280" w:firstLineChars="100"/>
        <w:jc w:val="left"/>
        <w:rPr>
          <w:rFonts w:ascii="Times New Roman" w:hAnsi="Times New Roman" w:eastAsia="黑体"/>
          <w:sz w:val="28"/>
          <w:szCs w:val="28"/>
        </w:rPr>
      </w:pPr>
      <w:r>
        <w:rPr>
          <w:rFonts w:hint="eastAsia" w:ascii="Times New Roman" w:hAnsi="Times New Roman" w:eastAsia="黑体"/>
          <w:sz w:val="28"/>
          <w:szCs w:val="28"/>
        </w:rPr>
        <w:t>（二）</w:t>
      </w:r>
      <w:r>
        <w:rPr>
          <w:rFonts w:ascii="Times New Roman" w:hAnsi="Times New Roman" w:eastAsia="黑体"/>
          <w:sz w:val="28"/>
          <w:szCs w:val="28"/>
        </w:rPr>
        <w:t>国内外相关标准情况</w:t>
      </w:r>
    </w:p>
    <w:p>
      <w:pPr>
        <w:spacing w:line="500" w:lineRule="exact"/>
        <w:ind w:right="23" w:rightChars="11"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提供项目查新说明，不得与已立项和已发布标准项目交叉重复。</w:t>
      </w:r>
    </w:p>
    <w:p>
      <w:pPr>
        <w:spacing w:line="500" w:lineRule="exact"/>
        <w:ind w:left="100" w:leftChars="48" w:right="23" w:rightChars="11" w:firstLine="280" w:firstLineChars="100"/>
        <w:jc w:val="left"/>
        <w:rPr>
          <w:rFonts w:hint="eastAsia" w:ascii="Times New Roman" w:hAnsi="Times New Roman" w:eastAsia="黑体"/>
          <w:sz w:val="28"/>
          <w:szCs w:val="28"/>
        </w:rPr>
      </w:pPr>
      <w:r>
        <w:rPr>
          <w:rFonts w:hint="eastAsia" w:ascii="Times New Roman" w:hAnsi="Times New Roman" w:eastAsia="黑体"/>
          <w:sz w:val="28"/>
          <w:szCs w:val="28"/>
        </w:rPr>
        <w:t>（三）工作基础</w:t>
      </w:r>
    </w:p>
    <w:p>
      <w:pPr>
        <w:spacing w:line="500" w:lineRule="exact"/>
        <w:ind w:right="23" w:rightChars="11"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申报单位说明现有工作基础，申报项目应内容明确、技术成熟稳定，尚处研究阶段的不予立项，修订项目还应提供标准跟踪评价材料，说明修订的必要性和紧迫性。</w:t>
      </w:r>
    </w:p>
    <w:p>
      <w:pPr>
        <w:spacing w:line="500" w:lineRule="exact"/>
        <w:ind w:left="100" w:leftChars="48" w:right="23" w:rightChars="11" w:firstLine="280" w:firstLineChars="100"/>
        <w:jc w:val="left"/>
        <w:rPr>
          <w:rFonts w:ascii="Times New Roman" w:hAnsi="Times New Roman" w:eastAsia="黑体"/>
          <w:sz w:val="28"/>
          <w:szCs w:val="28"/>
        </w:rPr>
      </w:pPr>
      <w:r>
        <w:rPr>
          <w:rFonts w:hint="eastAsia" w:ascii="Times New Roman" w:hAnsi="Times New Roman" w:eastAsia="黑体"/>
          <w:sz w:val="28"/>
          <w:szCs w:val="28"/>
        </w:rPr>
        <w:t>（四）进度安排</w:t>
      </w:r>
    </w:p>
    <w:p>
      <w:pPr>
        <w:spacing w:line="500" w:lineRule="exact"/>
        <w:ind w:right="23" w:rightChars="11"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从下达计划到完成送审稿不超过12个月。</w:t>
      </w:r>
    </w:p>
    <w:p>
      <w:pPr>
        <w:spacing w:line="500" w:lineRule="exact"/>
        <w:ind w:left="100" w:leftChars="48" w:right="23" w:rightChars="11" w:firstLine="280" w:firstLineChars="100"/>
        <w:jc w:val="left"/>
        <w:rPr>
          <w:rFonts w:hint="eastAsia" w:ascii="Times New Roman" w:hAnsi="Times New Roman" w:eastAsia="黑体"/>
          <w:sz w:val="28"/>
          <w:szCs w:val="28"/>
        </w:rPr>
      </w:pPr>
      <w:r>
        <w:rPr>
          <w:rFonts w:hint="eastAsia" w:ascii="Times New Roman" w:hAnsi="Times New Roman" w:eastAsia="黑体"/>
          <w:sz w:val="28"/>
          <w:szCs w:val="28"/>
        </w:rPr>
        <w:t>（五）项目经费预算</w:t>
      </w:r>
    </w:p>
    <w:p>
      <w:pPr>
        <w:spacing w:line="500" w:lineRule="exact"/>
        <w:ind w:right="23" w:rightChars="11"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说明申请总金额并明确分项经费需求。</w:t>
      </w:r>
    </w:p>
    <w:p>
      <w:pPr>
        <w:spacing w:line="540" w:lineRule="exact"/>
        <w:ind w:left="98" w:leftChars="47" w:firstLine="280" w:firstLineChars="100"/>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主要起草单位</w:t>
      </w:r>
    </w:p>
    <w:p>
      <w:pPr>
        <w:spacing w:line="500" w:lineRule="exact"/>
        <w:ind w:right="23" w:rightChars="11" w:firstLine="560" w:firstLineChars="200"/>
        <w:jc w:val="lef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鼓励标准相关方联合申报。</w:t>
      </w:r>
    </w:p>
    <w:p>
      <w:pPr>
        <w:spacing w:line="540" w:lineRule="exact"/>
        <w:ind w:left="98" w:leftChars="47" w:firstLine="280" w:firstLineChars="100"/>
        <w:rPr>
          <w:rFonts w:hint="eastAsia" w:ascii="Times New Roman" w:hAnsi="Times New Roman" w:eastAsia="黑体"/>
          <w:sz w:val="28"/>
          <w:szCs w:val="28"/>
        </w:rPr>
      </w:pPr>
      <w:r>
        <w:rPr>
          <w:rFonts w:hint="eastAsia" w:ascii="Times New Roman" w:hAnsi="Times New Roman" w:eastAsia="黑体"/>
          <w:sz w:val="28"/>
          <w:szCs w:val="28"/>
        </w:rPr>
        <w:t>（七）编写人员与分工</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标准制定过程主要由****等单位的人员参与资料收集、文本完成、市场调研、实验室比对、数据处理等工作。（标准起草组成员应当具备代表性，广泛吸收科研、生产、检测等方面的专家和技术人员参加。）</w:t>
      </w:r>
    </w:p>
    <w:p>
      <w:pPr>
        <w:spacing w:line="360" w:lineRule="auto"/>
        <w:jc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表1. 主要起草人员信息及任务分工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561"/>
        <w:gridCol w:w="1659"/>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spacing w:line="240" w:lineRule="atLeast"/>
              <w:jc w:val="center"/>
              <w:rPr>
                <w:rFonts w:ascii="宋体"/>
                <w:b/>
                <w:bCs/>
                <w:sz w:val="24"/>
                <w:szCs w:val="24"/>
              </w:rPr>
            </w:pPr>
            <w:r>
              <w:rPr>
                <w:rFonts w:hint="eastAsia" w:ascii="宋体" w:hAnsi="宋体"/>
                <w:b/>
                <w:bCs/>
                <w:sz w:val="24"/>
                <w:szCs w:val="24"/>
              </w:rPr>
              <w:t>姓名</w:t>
            </w:r>
          </w:p>
        </w:tc>
        <w:tc>
          <w:tcPr>
            <w:tcW w:w="3561" w:type="dxa"/>
            <w:noWrap w:val="0"/>
            <w:vAlign w:val="center"/>
          </w:tcPr>
          <w:p>
            <w:pPr>
              <w:spacing w:line="240" w:lineRule="atLeast"/>
              <w:jc w:val="center"/>
              <w:rPr>
                <w:rFonts w:ascii="宋体"/>
                <w:b/>
                <w:bCs/>
                <w:sz w:val="24"/>
                <w:szCs w:val="24"/>
              </w:rPr>
            </w:pPr>
            <w:r>
              <w:rPr>
                <w:rFonts w:hint="eastAsia" w:ascii="宋体" w:hAnsi="宋体"/>
                <w:b/>
                <w:bCs/>
                <w:sz w:val="24"/>
                <w:szCs w:val="24"/>
              </w:rPr>
              <w:t>单位</w:t>
            </w:r>
          </w:p>
        </w:tc>
        <w:tc>
          <w:tcPr>
            <w:tcW w:w="1659" w:type="dxa"/>
            <w:noWrap w:val="0"/>
            <w:vAlign w:val="center"/>
          </w:tcPr>
          <w:p>
            <w:pPr>
              <w:spacing w:line="240" w:lineRule="atLeast"/>
              <w:jc w:val="center"/>
              <w:rPr>
                <w:rFonts w:ascii="宋体"/>
                <w:b/>
                <w:bCs/>
                <w:sz w:val="24"/>
                <w:szCs w:val="24"/>
              </w:rPr>
            </w:pPr>
            <w:r>
              <w:rPr>
                <w:rFonts w:hint="eastAsia" w:ascii="宋体" w:hAnsi="宋体"/>
                <w:b/>
                <w:bCs/>
                <w:sz w:val="24"/>
                <w:szCs w:val="24"/>
              </w:rPr>
              <w:t>职称</w:t>
            </w:r>
          </w:p>
        </w:tc>
        <w:tc>
          <w:tcPr>
            <w:tcW w:w="2294" w:type="dxa"/>
            <w:noWrap w:val="0"/>
            <w:vAlign w:val="center"/>
          </w:tcPr>
          <w:p>
            <w:pPr>
              <w:spacing w:line="240" w:lineRule="atLeast"/>
              <w:jc w:val="center"/>
              <w:rPr>
                <w:rFonts w:ascii="宋体"/>
                <w:b/>
                <w:bCs/>
                <w:sz w:val="24"/>
                <w:szCs w:val="24"/>
              </w:rPr>
            </w:pPr>
            <w:r>
              <w:rPr>
                <w:rFonts w:hint="eastAsia" w:ascii="宋体" w:hAnsi="宋体"/>
                <w:b/>
                <w:bCs/>
                <w:sz w:val="24"/>
                <w:szCs w:val="24"/>
              </w:rPr>
              <w:t>专业特长及分工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spacing w:line="240" w:lineRule="atLeast"/>
              <w:jc w:val="center"/>
              <w:rPr>
                <w:rFonts w:ascii="宋体"/>
                <w:szCs w:val="21"/>
              </w:rPr>
            </w:pPr>
          </w:p>
        </w:tc>
        <w:tc>
          <w:tcPr>
            <w:tcW w:w="3561" w:type="dxa"/>
            <w:noWrap w:val="0"/>
            <w:vAlign w:val="center"/>
          </w:tcPr>
          <w:p>
            <w:pPr>
              <w:spacing w:line="240" w:lineRule="atLeast"/>
              <w:jc w:val="center"/>
              <w:rPr>
                <w:rFonts w:ascii="宋体"/>
                <w:szCs w:val="21"/>
              </w:rPr>
            </w:pPr>
          </w:p>
        </w:tc>
        <w:tc>
          <w:tcPr>
            <w:tcW w:w="1659" w:type="dxa"/>
            <w:noWrap w:val="0"/>
            <w:vAlign w:val="center"/>
          </w:tcPr>
          <w:p>
            <w:pPr>
              <w:spacing w:line="240" w:lineRule="atLeast"/>
              <w:jc w:val="center"/>
              <w:rPr>
                <w:rFonts w:ascii="宋体"/>
                <w:szCs w:val="21"/>
              </w:rPr>
            </w:pPr>
          </w:p>
        </w:tc>
        <w:tc>
          <w:tcPr>
            <w:tcW w:w="2294" w:type="dxa"/>
            <w:noWrap w:val="0"/>
            <w:vAlign w:val="center"/>
          </w:tcPr>
          <w:p>
            <w:pPr>
              <w:spacing w:line="24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spacing w:line="240" w:lineRule="atLeast"/>
              <w:jc w:val="center"/>
              <w:rPr>
                <w:rFonts w:ascii="宋体"/>
                <w:szCs w:val="21"/>
              </w:rPr>
            </w:pPr>
          </w:p>
        </w:tc>
        <w:tc>
          <w:tcPr>
            <w:tcW w:w="3561" w:type="dxa"/>
            <w:noWrap w:val="0"/>
            <w:vAlign w:val="center"/>
          </w:tcPr>
          <w:p>
            <w:pPr>
              <w:spacing w:line="240" w:lineRule="atLeast"/>
              <w:jc w:val="center"/>
              <w:rPr>
                <w:rFonts w:ascii="宋体"/>
                <w:szCs w:val="21"/>
              </w:rPr>
            </w:pPr>
          </w:p>
        </w:tc>
        <w:tc>
          <w:tcPr>
            <w:tcW w:w="1659" w:type="dxa"/>
            <w:noWrap w:val="0"/>
            <w:vAlign w:val="center"/>
          </w:tcPr>
          <w:p>
            <w:pPr>
              <w:spacing w:line="240" w:lineRule="atLeast"/>
              <w:jc w:val="center"/>
              <w:rPr>
                <w:rFonts w:ascii="宋体"/>
                <w:szCs w:val="21"/>
              </w:rPr>
            </w:pPr>
          </w:p>
        </w:tc>
        <w:tc>
          <w:tcPr>
            <w:tcW w:w="2294" w:type="dxa"/>
            <w:noWrap w:val="0"/>
            <w:vAlign w:val="center"/>
          </w:tcPr>
          <w:p>
            <w:pPr>
              <w:spacing w:line="240" w:lineRule="atLeast"/>
              <w:jc w:val="center"/>
              <w:rPr>
                <w:rFonts w:ascii="宋体"/>
                <w:szCs w:val="21"/>
              </w:rPr>
            </w:pPr>
          </w:p>
        </w:tc>
      </w:tr>
    </w:tbl>
    <w:p>
      <w:pPr>
        <w:spacing w:line="540" w:lineRule="exact"/>
        <w:ind w:firstLine="640" w:firstLineChars="20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二、标准编制原则和确定标准主要内容</w:t>
      </w:r>
    </w:p>
    <w:p>
      <w:pPr>
        <w:pStyle w:val="2"/>
        <w:keepNext w:val="0"/>
        <w:keepLines w:val="0"/>
        <w:wordWrap w:val="0"/>
        <w:ind w:firstLine="560"/>
        <w:rPr>
          <w:rFonts w:hint="eastAsia" w:ascii="Times New Roman" w:hAnsi="Times New Roman" w:eastAsia="黑体"/>
          <w:b w:val="0"/>
          <w:bCs w:val="0"/>
          <w:sz w:val="28"/>
          <w:szCs w:val="28"/>
        </w:rPr>
      </w:pPr>
      <w:r>
        <w:rPr>
          <w:rFonts w:hint="eastAsia" w:ascii="Times New Roman" w:hAnsi="Times New Roman" w:eastAsia="黑体"/>
          <w:b w:val="0"/>
          <w:bCs w:val="0"/>
          <w:sz w:val="28"/>
          <w:szCs w:val="28"/>
        </w:rPr>
        <w:t>（一）标准的编写原则</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主要阐述标准制定或修订过程遵循的基本原则。</w:t>
      </w:r>
    </w:p>
    <w:p>
      <w:pPr>
        <w:pStyle w:val="2"/>
        <w:keepNext w:val="0"/>
        <w:keepLines w:val="0"/>
        <w:wordWrap w:val="0"/>
        <w:ind w:firstLine="560"/>
        <w:rPr>
          <w:rFonts w:hint="eastAsia" w:ascii="Times New Roman" w:hAnsi="Times New Roman" w:eastAsia="黑体"/>
          <w:b w:val="0"/>
          <w:bCs w:val="0"/>
          <w:sz w:val="28"/>
          <w:szCs w:val="28"/>
        </w:rPr>
      </w:pPr>
      <w:r>
        <w:rPr>
          <w:rFonts w:hint="eastAsia" w:ascii="Times New Roman" w:hAnsi="Times New Roman" w:eastAsia="黑体"/>
          <w:b w:val="0"/>
          <w:bCs w:val="0"/>
          <w:sz w:val="28"/>
          <w:szCs w:val="28"/>
        </w:rPr>
        <w:t>（二）提出本标准主要内容的依据</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主要内容包括技术指标、参数、公式、性能要求、试验方法、检验规则等。依据包括试验和统计数据。尤其注意本条不要写成任务来源。</w:t>
      </w:r>
    </w:p>
    <w:p>
      <w:pPr>
        <w:pStyle w:val="2"/>
        <w:keepNext w:val="0"/>
        <w:keepLines w:val="0"/>
        <w:wordWrap w:val="0"/>
        <w:ind w:firstLine="560"/>
        <w:rPr>
          <w:rFonts w:hint="eastAsia" w:ascii="Times New Roman" w:hAnsi="Times New Roman" w:eastAsia="黑体"/>
          <w:b w:val="0"/>
          <w:bCs w:val="0"/>
          <w:sz w:val="28"/>
          <w:szCs w:val="28"/>
        </w:rPr>
      </w:pPr>
      <w:r>
        <w:rPr>
          <w:rFonts w:hint="eastAsia" w:ascii="Times New Roman" w:hAnsi="Times New Roman" w:eastAsia="黑体"/>
          <w:b w:val="0"/>
          <w:bCs w:val="0"/>
          <w:sz w:val="28"/>
          <w:szCs w:val="28"/>
        </w:rPr>
        <w:t>（三）新旧标准对比（适用于修订标准的情况）</w:t>
      </w:r>
    </w:p>
    <w:p>
      <w:pPr>
        <w:spacing w:line="540" w:lineRule="exact"/>
        <w:ind w:firstLine="640" w:firstLineChars="20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三、主要试验（或验证）的分析、综合报告，技术经济论证，预期的经济效果；</w:t>
      </w:r>
    </w:p>
    <w:p>
      <w:pPr>
        <w:adjustRightInd w:val="0"/>
        <w:snapToGrid w:val="0"/>
        <w:spacing w:before="31" w:beforeLines="10" w:after="31" w:afterLines="10" w:line="360" w:lineRule="auto"/>
        <w:ind w:firstLine="548" w:firstLineChars="196"/>
        <w:rPr>
          <w:rFonts w:hint="eastAsia" w:ascii="Times New Roman" w:hAnsi="Times New Roman" w:eastAsia="黑体"/>
          <w:sz w:val="28"/>
          <w:szCs w:val="28"/>
        </w:rPr>
      </w:pPr>
      <w:r>
        <w:rPr>
          <w:rFonts w:hint="eastAsia" w:ascii="Times New Roman" w:hAnsi="Times New Roman" w:eastAsia="黑体"/>
          <w:sz w:val="28"/>
          <w:szCs w:val="28"/>
        </w:rPr>
        <w:t>（一）主要试验或验证的分析</w:t>
      </w:r>
    </w:p>
    <w:p>
      <w:pPr>
        <w:adjustRightInd w:val="0"/>
        <w:snapToGrid w:val="0"/>
        <w:spacing w:before="31" w:beforeLines="10" w:after="31" w:afterLines="10" w:line="360" w:lineRule="auto"/>
        <w:ind w:firstLine="548" w:firstLineChars="196"/>
        <w:rPr>
          <w:rFonts w:hint="eastAsia" w:ascii="Times New Roman" w:hAnsi="Times New Roman" w:eastAsia="黑体"/>
          <w:sz w:val="28"/>
          <w:szCs w:val="28"/>
        </w:rPr>
      </w:pPr>
      <w:r>
        <w:rPr>
          <w:rFonts w:hint="eastAsia" w:ascii="Times New Roman" w:hAnsi="Times New Roman" w:eastAsia="黑体"/>
          <w:sz w:val="28"/>
          <w:szCs w:val="28"/>
        </w:rPr>
        <w:t>（二）综述报告</w:t>
      </w:r>
    </w:p>
    <w:p>
      <w:pPr>
        <w:adjustRightInd w:val="0"/>
        <w:snapToGrid w:val="0"/>
        <w:spacing w:before="31" w:beforeLines="10" w:after="31" w:afterLines="10" w:line="360" w:lineRule="auto"/>
        <w:ind w:firstLine="548" w:firstLineChars="196"/>
        <w:rPr>
          <w:rFonts w:hint="eastAsia" w:ascii="Times New Roman" w:hAnsi="Times New Roman" w:eastAsia="黑体"/>
          <w:sz w:val="28"/>
          <w:szCs w:val="28"/>
        </w:rPr>
      </w:pPr>
      <w:r>
        <w:rPr>
          <w:rFonts w:hint="eastAsia" w:ascii="Times New Roman" w:hAnsi="Times New Roman" w:eastAsia="黑体"/>
          <w:sz w:val="28"/>
          <w:szCs w:val="28"/>
        </w:rPr>
        <w:t>（三）技术经济论证</w:t>
      </w:r>
    </w:p>
    <w:p>
      <w:pPr>
        <w:adjustRightInd w:val="0"/>
        <w:snapToGrid w:val="0"/>
        <w:spacing w:before="31" w:beforeLines="10" w:after="31" w:afterLines="10" w:line="360" w:lineRule="auto"/>
        <w:ind w:firstLine="548" w:firstLineChars="196"/>
        <w:rPr>
          <w:rFonts w:hint="eastAsia" w:ascii="Times New Roman" w:hAnsi="Times New Roman" w:eastAsia="黑体"/>
          <w:sz w:val="28"/>
          <w:szCs w:val="28"/>
        </w:rPr>
      </w:pPr>
      <w:r>
        <w:rPr>
          <w:rFonts w:hint="eastAsia" w:ascii="Times New Roman" w:hAnsi="Times New Roman" w:eastAsia="黑体"/>
          <w:sz w:val="28"/>
          <w:szCs w:val="28"/>
        </w:rPr>
        <w:t>（四）预期的经济效果</w:t>
      </w:r>
    </w:p>
    <w:p>
      <w:pPr>
        <w:spacing w:line="540" w:lineRule="exact"/>
        <w:ind w:firstLine="640" w:firstLineChars="20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四、采用国际标准和国外先进标准的程度，以及与国际、国外同类标准水平的对比情况，或与测试的国外样品、样机的有关数据对比情况</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w:t>
      </w:r>
    </w:p>
    <w:p>
      <w:pPr>
        <w:pStyle w:val="3"/>
        <w:ind w:firstLine="640"/>
        <w:rPr>
          <w:rFonts w:hint="eastAsia" w:hAnsi="宋体"/>
          <w:b/>
          <w:snapToGrid w:val="0"/>
          <w:color w:val="000000"/>
          <w:kern w:val="0"/>
          <w:sz w:val="32"/>
          <w:szCs w:val="32"/>
        </w:rPr>
      </w:pPr>
      <w:r>
        <w:rPr>
          <w:rFonts w:hint="eastAsia" w:ascii="黑体" w:hAnsi="黑体" w:eastAsia="黑体" w:cs="黑体"/>
          <w:bCs/>
          <w:snapToGrid w:val="0"/>
          <w:color w:val="000000"/>
          <w:kern w:val="0"/>
          <w:sz w:val="32"/>
          <w:szCs w:val="32"/>
        </w:rPr>
        <w:t>五、与有关的现行法律、法规和强制性标准的关系</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主要说明标准与相应法律法规和强制性标准之间的衔接、协调情况。列出与标标准密切相关的法律法规、强制性标准的名称和编号。</w:t>
      </w:r>
    </w:p>
    <w:p>
      <w:pPr>
        <w:pStyle w:val="3"/>
        <w:ind w:firstLine="64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六、重大分歧意见的处理经过和依据</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说明各方面专家对标准主要内容（如参数、指标、试验方法）有哪些重大分歧，以及标准起草单位在修改完善标准过程中，对专家分歧意见的处理主要依据和处理结果。对同一方法或问题有不同解决方案的应讨论出最佳方案。</w:t>
      </w:r>
    </w:p>
    <w:p>
      <w:pPr>
        <w:pStyle w:val="3"/>
        <w:ind w:firstLine="64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七、标准作为强制性标准或推荐性标准的建议</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本标准为***类标准，并不涉及有关国家安全、保护人体健康和人身财产安全、环境质量要求等有关强制性地方标准或强制性条文等的八项要求之一，因此建议作为推荐性农业行业标准发布实施。</w:t>
      </w:r>
    </w:p>
    <w:p>
      <w:pPr>
        <w:pStyle w:val="3"/>
        <w:ind w:firstLine="640"/>
        <w:rPr>
          <w:rFonts w:hint="eastAsia" w:hAnsi="宋体"/>
          <w:b/>
          <w:snapToGrid w:val="0"/>
          <w:color w:val="000000"/>
          <w:kern w:val="0"/>
          <w:sz w:val="32"/>
          <w:szCs w:val="32"/>
        </w:rPr>
      </w:pPr>
      <w:r>
        <w:rPr>
          <w:rFonts w:hint="eastAsia" w:ascii="黑体" w:hAnsi="黑体" w:eastAsia="黑体" w:cs="黑体"/>
          <w:bCs/>
          <w:snapToGrid w:val="0"/>
          <w:color w:val="000000"/>
          <w:kern w:val="0"/>
          <w:sz w:val="32"/>
          <w:szCs w:val="32"/>
        </w:rPr>
        <w:t>八、贯彻标准的要求和措施建议</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包括组织措施、技术措施、过渡办法等内容。</w:t>
      </w:r>
    </w:p>
    <w:p>
      <w:pPr>
        <w:pStyle w:val="3"/>
        <w:ind w:firstLine="64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九、废止现行有关标准的建议</w:t>
      </w:r>
    </w:p>
    <w:p>
      <w:pPr>
        <w:spacing w:line="360" w:lineRule="auto"/>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w:t>
      </w:r>
    </w:p>
    <w:p>
      <w:pPr>
        <w:pStyle w:val="3"/>
        <w:ind w:firstLine="640"/>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十、其他应予说明的事项</w:t>
      </w:r>
    </w:p>
    <w:p>
      <w:pPr>
        <w:spacing w:line="360" w:lineRule="auto"/>
        <w:ind w:firstLine="560" w:firstLineChars="200"/>
        <w:rPr>
          <w:rFonts w:ascii="Times New Roman" w:hAnsi="Times New Roman"/>
          <w:szCs w:val="21"/>
        </w:rPr>
      </w:pPr>
      <w:r>
        <w:rPr>
          <w:rFonts w:hint="eastAsia" w:ascii="仿宋_GB2312" w:hAnsi="仿宋_GB2312" w:eastAsia="仿宋_GB2312" w:cs="仿宋_GB2312"/>
          <w:snapToGrid w:val="0"/>
          <w:color w:val="000000"/>
          <w:kern w:val="0"/>
          <w:sz w:val="28"/>
          <w:szCs w:val="28"/>
        </w:rPr>
        <w:t>*****</w:t>
      </w:r>
    </w:p>
    <w:p>
      <w:bookmarkStart w:id="0" w:name="_GoBack"/>
      <w:bookmarkEnd w:id="0"/>
    </w:p>
    <w:sectPr>
      <w:headerReference r:id="rId3" w:type="default"/>
      <w:footerReference r:id="rId4" w:type="default"/>
      <w:pgSz w:w="11906" w:h="16838"/>
      <w:pgMar w:top="1440" w:right="1800" w:bottom="1440" w:left="1800" w:header="851" w:footer="992" w:gutter="0"/>
      <w:pgNumType w:fmt="numberInDash" w:start="9"/>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54A9A"/>
    <w:rsid w:val="33E54A9A"/>
    <w:rsid w:val="42C6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360" w:lineRule="auto"/>
      <w:ind w:firstLine="442" w:firstLineChars="200"/>
      <w:outlineLvl w:val="1"/>
    </w:pPr>
    <w:rPr>
      <w:rFonts w:ascii="Cambria" w:hAnsi="Cambria" w:eastAsia="楷体"/>
      <w:b/>
      <w:bCs/>
      <w:sz w:val="2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2268"/>
      </w:tabs>
      <w:spacing w:line="560" w:lineRule="exact"/>
      <w:ind w:firstLine="600" w:firstLineChars="200"/>
    </w:pPr>
    <w:rPr>
      <w:rFonts w:ascii="仿宋_GB2312"/>
      <w:sz w:val="30"/>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2021-11-02T02:59:00Z</dcterms:created>
  <dc:creator>云海</dc:creator>
  <cp:lastModifiedBy>云海</cp:lastModifiedBy>
  <dcterms:modified xsi:type="dcterms:W3CDTF">2021-11-09T03:39:26Z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8FBD965195E348B0863EF54B76FCEA38</vt:lpwstr>
  </property>
</Properties>
</file>