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jc w:val="left"/>
        <w:rPr>
          <w:rFonts w:ascii="Times New Roman" w:hAnsi="Times New Roman" w:hint="eastAsia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</w:p>
    <w:p>
      <w:pPr>
        <w:spacing w:line="600" w:lineRule="exact"/>
        <w:jc w:val="left"/>
        <w:rPr>
          <w:rFonts w:ascii="Times New Roman" w:eastAsia="黑体" w:hAnsi="Times New Roman"/>
          <w:color w:val="000000"/>
        </w:rPr>
      </w:pPr>
      <w:bookmarkStart w:id="0" w:name="_GoBack"/>
      <w:bookmarkEnd w:id="0"/>
      <w:r>
        <w:rPr>
          <w:rFonts w:ascii="Times New Roman" w:eastAsia="黑体" w:hAnsi="Times New Roman"/>
          <w:color w:val="000000"/>
        </w:rPr>
        <w:t>附件</w:t>
      </w:r>
    </w:p>
    <w:p>
      <w:pPr>
        <w:spacing w:afterLines="50" w:after="156"/>
        <w:jc w:val="center"/>
        <w:rPr>
          <w:rFonts w:ascii="Times New Roman" w:eastAsia="仿宋" w:hAnsi="Times New Roman"/>
          <w:b/>
          <w:bCs/>
          <w:color w:val="000000"/>
          <w:sz w:val="36"/>
          <w:szCs w:val="36"/>
        </w:rPr>
      </w:pPr>
      <w:r>
        <w:rPr>
          <w:rFonts w:ascii="Times New Roman" w:eastAsia="仿宋" w:hAnsi="Times New Roman"/>
          <w:b/>
          <w:bCs/>
          <w:color w:val="000000"/>
          <w:sz w:val="36"/>
          <w:szCs w:val="36"/>
        </w:rPr>
        <w:t>10</w:t>
      </w:r>
      <w:r>
        <w:rPr>
          <w:rFonts w:ascii="Times New Roman" w:eastAsia="仿宋" w:hAnsi="Times New Roman"/>
          <w:b/>
          <w:bCs/>
          <w:color w:val="000000"/>
          <w:sz w:val="36"/>
          <w:szCs w:val="36"/>
        </w:rPr>
        <w:t>月主要蔬菜品种地头价监测表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2693"/>
        <w:gridCol w:w="1880"/>
        <w:gridCol w:w="1848"/>
      </w:tblGrid>
      <w:tr>
        <w:trPr>
          <w:cantSplit/>
          <w:trHeight w:val="567"/>
          <w:tblHeader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color w:val="000000"/>
                <w:szCs w:val="32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szCs w:val="32"/>
              </w:rPr>
              <w:t>蔬菜种类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Times New Roman" w:eastAsia="仿宋" w:hAnsi="Times New Roman"/>
                <w:b/>
                <w:bCs/>
                <w:color w:val="000000"/>
                <w:szCs w:val="32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szCs w:val="32"/>
              </w:rPr>
              <w:t>地头价（元</w:t>
            </w:r>
            <w:r>
              <w:rPr>
                <w:rFonts w:ascii="Times New Roman" w:eastAsia="仿宋" w:hAnsi="Times New Roman"/>
                <w:b/>
                <w:bCs/>
                <w:color w:val="000000"/>
                <w:szCs w:val="32"/>
              </w:rPr>
              <w:t>/</w:t>
            </w:r>
            <w:r>
              <w:rPr>
                <w:rFonts w:ascii="Times New Roman" w:eastAsia="仿宋" w:hAnsi="Times New Roman"/>
                <w:b/>
                <w:bCs/>
                <w:color w:val="000000"/>
                <w:szCs w:val="32"/>
              </w:rPr>
              <w:t>公斤）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color w:val="000000"/>
                <w:szCs w:val="32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szCs w:val="32"/>
              </w:rPr>
              <w:t>同比（</w:t>
            </w:r>
            <w:r>
              <w:rPr>
                <w:rFonts w:ascii="Times New Roman" w:eastAsia="仿宋" w:hAnsi="Times New Roman"/>
                <w:b/>
                <w:bCs/>
                <w:color w:val="000000"/>
                <w:szCs w:val="32"/>
              </w:rPr>
              <w:t>%</w:t>
            </w:r>
            <w:r>
              <w:rPr>
                <w:rFonts w:ascii="Times New Roman" w:eastAsia="仿宋" w:hAnsi="Times New Roman"/>
                <w:b/>
                <w:bCs/>
                <w:color w:val="000000"/>
                <w:szCs w:val="32"/>
              </w:rPr>
              <w:t>）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color w:val="000000"/>
                <w:szCs w:val="32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szCs w:val="32"/>
              </w:rPr>
              <w:t>环比（</w:t>
            </w:r>
            <w:r>
              <w:rPr>
                <w:rFonts w:ascii="Times New Roman" w:eastAsia="仿宋" w:hAnsi="Times New Roman"/>
                <w:b/>
                <w:bCs/>
                <w:color w:val="000000"/>
                <w:szCs w:val="32"/>
              </w:rPr>
              <w:t>%</w:t>
            </w:r>
            <w:r>
              <w:rPr>
                <w:rFonts w:ascii="Times New Roman" w:eastAsia="仿宋" w:hAnsi="Times New Roman"/>
                <w:b/>
                <w:bCs/>
                <w:color w:val="000000"/>
                <w:szCs w:val="32"/>
              </w:rPr>
              <w:t>）</w:t>
            </w:r>
          </w:p>
        </w:tc>
      </w:tr>
      <w:tr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普通白菜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1.73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-44.90%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8D08D" w:themeColor="accent6" w:themeTint="99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-30.24%</w:t>
            </w:r>
          </w:p>
        </w:tc>
      </w:tr>
      <w:tr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松花菜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3.06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-28.00%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8D08D" w:themeColor="accent6" w:themeTint="99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-24.82%</w:t>
            </w:r>
          </w:p>
        </w:tc>
      </w:tr>
      <w:tr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长茄子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2.54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-15.33%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8D08D" w:themeColor="accent6" w:themeTint="99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-19.62%</w:t>
            </w:r>
          </w:p>
        </w:tc>
      </w:tr>
      <w:tr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菜豆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5.66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-2.75%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8D08D" w:themeColor="accent6" w:themeTint="99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-18.09%</w:t>
            </w:r>
          </w:p>
        </w:tc>
      </w:tr>
      <w:tr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菠菜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3.40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-45.60%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8D08D" w:themeColor="accent6" w:themeTint="99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-17.48%</w:t>
            </w:r>
          </w:p>
        </w:tc>
      </w:tr>
      <w:tr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冬瓜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0.72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-30.10%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8D08D" w:themeColor="accent6" w:themeTint="99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-16.28%</w:t>
            </w:r>
          </w:p>
        </w:tc>
      </w:tr>
      <w:tr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莲藕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3.96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-2.70%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8D08D" w:themeColor="accent6" w:themeTint="99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-15.57%</w:t>
            </w:r>
          </w:p>
        </w:tc>
      </w:tr>
      <w:tr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大白菜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0.98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-20.97%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8D08D" w:themeColor="accent6" w:themeTint="99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-12.50%</w:t>
            </w:r>
          </w:p>
        </w:tc>
      </w:tr>
      <w:tr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苦瓜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2.31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-58.68%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8D08D" w:themeColor="accent6" w:themeTint="99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-12.17%</w:t>
            </w:r>
          </w:p>
        </w:tc>
      </w:tr>
      <w:tr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洋葱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1.49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53.61%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-9.15%</w:t>
            </w:r>
          </w:p>
        </w:tc>
      </w:tr>
      <w:tr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大葱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2.06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-1.44%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-5.94%</w:t>
            </w:r>
          </w:p>
        </w:tc>
      </w:tr>
      <w:tr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西芹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2.25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-42.16%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-2.60%</w:t>
            </w:r>
          </w:p>
        </w:tc>
      </w:tr>
      <w:tr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黄瓜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2.81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-58.92%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-2.09%</w:t>
            </w:r>
          </w:p>
        </w:tc>
      </w:tr>
      <w:tr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豇豆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4.77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-11.01%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-1.04%</w:t>
            </w:r>
          </w:p>
        </w:tc>
      </w:tr>
      <w:tr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结球甘蓝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1.08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-48.33%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-0.92%</w:t>
            </w:r>
          </w:p>
        </w:tc>
      </w:tr>
      <w:tr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大蒜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3.77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-35.67%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-0.79%</w:t>
            </w:r>
          </w:p>
        </w:tc>
      </w:tr>
      <w:tr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胡萝卜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1.15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-35.75%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0.88%</w:t>
            </w:r>
          </w:p>
        </w:tc>
      </w:tr>
      <w:tr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辣椒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5.88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34.86%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5.19%</w:t>
            </w:r>
          </w:p>
        </w:tc>
      </w:tr>
      <w:tr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青花菜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3.71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-34.45%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8.48%</w:t>
            </w:r>
          </w:p>
        </w:tc>
      </w:tr>
      <w:tr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3.98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80.09%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9.04%</w:t>
            </w:r>
          </w:p>
        </w:tc>
      </w:tr>
      <w:tr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韭菜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3.55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-8.97%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B083" w:themeColor="accent2" w:themeTint="99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10.59%</w:t>
            </w:r>
          </w:p>
        </w:tc>
      </w:tr>
      <w:tr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萝卜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1.30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-20.25%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B083" w:themeColor="accent2" w:themeTint="99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13.04%</w:t>
            </w:r>
          </w:p>
        </w:tc>
      </w:tr>
      <w:tr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圆茄子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2.63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-29.49%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B083" w:themeColor="accent2" w:themeTint="99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19.00%</w:t>
            </w:r>
          </w:p>
        </w:tc>
      </w:tr>
      <w:tr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莴笋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2.59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-4.78%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B083" w:themeColor="accent2" w:themeTint="99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19.35%</w:t>
            </w:r>
          </w:p>
        </w:tc>
      </w:tr>
      <w:tr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西葫芦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2.47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-43.35%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B083" w:themeColor="accent2" w:themeTint="99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21.08%</w:t>
            </w:r>
          </w:p>
        </w:tc>
      </w:tr>
      <w:tr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丝瓜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4.23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-8.64%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B083" w:themeColor="accent2" w:themeTint="99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27.41%</w:t>
            </w:r>
          </w:p>
        </w:tc>
      </w:tr>
      <w:tr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番茄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4.35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9.57%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B083" w:themeColor="accent2" w:themeTint="99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43.56%</w:t>
            </w:r>
          </w:p>
        </w:tc>
      </w:tr>
      <w:tr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南瓜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1.43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62.50%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4B083" w:themeColor="accent2" w:themeTint="99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44.44%</w:t>
            </w:r>
          </w:p>
        </w:tc>
      </w:tr>
      <w:tr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月均价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2.75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-22.97%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-1.08%</w:t>
            </w:r>
          </w:p>
        </w:tc>
      </w:tr>
    </w:tbl>
    <w:p>
      <w:pPr>
        <w:spacing w:afterLines="50" w:after="156"/>
        <w:jc w:val="center"/>
        <w:rPr>
          <w:rFonts w:ascii="Times New Roman" w:eastAsia="仿宋" w:hAnsi="Times New Roman"/>
          <w:b/>
          <w:bCs/>
          <w:color w:val="000000"/>
          <w:sz w:val="30"/>
          <w:szCs w:val="30"/>
        </w:rPr>
      </w:pPr>
    </w:p>
    <w:sectPr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009652"/>
    </w:sdtPr>
    <w:sdtEndPr>
      <w:rPr>
        <w:rFonts w:ascii="宋体" w:eastAsia="宋体" w:hAnsi="宋体"/>
        <w:color w:val="000000" w:themeColor="text1"/>
        <w:sz w:val="21"/>
        <w:szCs w:val="21"/>
      </w:rPr>
    </w:sdtEndPr>
    <w:sdtContent>
      <w:p>
        <w:pPr>
          <w:pStyle w:val="a8"/>
          <w:jc w:val="center"/>
          <w:rPr>
            <w:rFonts w:ascii="宋体" w:eastAsia="宋体" w:hAnsi="宋体"/>
            <w:color w:val="000000" w:themeColor="text1"/>
            <w:sz w:val="21"/>
            <w:szCs w:val="21"/>
          </w:rPr>
        </w:pPr>
        <w:r>
          <w:rPr>
            <w:rFonts w:hint="eastAsia"/>
          </w:rPr>
          <w:t>—</w:t>
        </w:r>
        <w:r>
          <w:rPr>
            <w:rFonts w:ascii="宋体" w:eastAsia="宋体" w:hAnsi="宋体"/>
            <w:color w:val="000000" w:themeColor="text1"/>
            <w:sz w:val="21"/>
            <w:szCs w:val="21"/>
          </w:rPr>
          <w:fldChar w:fldCharType="begin"/>
        </w:r>
        <w:r>
          <w:rPr>
            <w:rFonts w:ascii="宋体" w:eastAsia="宋体" w:hAnsi="宋体"/>
            <w:color w:val="000000" w:themeColor="text1"/>
            <w:sz w:val="21"/>
            <w:szCs w:val="21"/>
          </w:rPr>
          <w:instrText>PAGE   \* MERGEFORMAT</w:instrText>
        </w:r>
        <w:r>
          <w:rPr>
            <w:rFonts w:ascii="宋体" w:eastAsia="宋体" w:hAnsi="宋体"/>
            <w:color w:val="000000" w:themeColor="text1"/>
            <w:sz w:val="21"/>
            <w:szCs w:val="21"/>
          </w:rPr>
          <w:fldChar w:fldCharType="separate"/>
        </w:r>
        <w:r>
          <w:rPr>
            <w:rFonts w:ascii="宋体" w:eastAsia="宋体" w:hAnsi="宋体"/>
            <w:noProof/>
            <w:color w:val="000000" w:themeColor="text1"/>
            <w:sz w:val="21"/>
            <w:szCs w:val="21"/>
          </w:rPr>
          <w:t>1</w:t>
        </w:r>
        <w:r>
          <w:rPr>
            <w:rFonts w:ascii="宋体" w:eastAsia="宋体" w:hAnsi="宋体"/>
            <w:color w:val="000000" w:themeColor="text1"/>
            <w:sz w:val="21"/>
            <w:szCs w:val="21"/>
          </w:rPr>
          <w:fldChar w:fldCharType="end"/>
        </w:r>
        <w:r>
          <w:rPr>
            <w:rFonts w:hint="eastAsia"/>
          </w:rPr>
          <w:t>—</w:t>
        </w:r>
      </w:p>
    </w:sdtContent>
  </w:sdt>
  <w:p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MzFhMjNkNTZjMmJhMGY1YTRjMWNiMWY1OTQ3MzY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仿宋_GB2312" w:hAnsi="Calibri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qFormat/>
    <w:pPr>
      <w:spacing w:after="120"/>
    </w:pPr>
  </w:style>
  <w:style w:type="paragraph" w:styleId="5">
    <w:name w:val="toc 5"/>
    <w:basedOn w:val="a"/>
    <w:next w:val="a"/>
    <w:semiHidden/>
    <w:qFormat/>
    <w:pPr>
      <w:ind w:left="840"/>
      <w:jc w:val="left"/>
    </w:pPr>
    <w:rPr>
      <w:sz w:val="18"/>
      <w:szCs w:val="18"/>
    </w:rPr>
  </w:style>
  <w:style w:type="paragraph" w:styleId="a4">
    <w:name w:val="annotation subject"/>
    <w:basedOn w:val="a5"/>
    <w:next w:val="a5"/>
    <w:link w:val="Char"/>
    <w:uiPriority w:val="99"/>
    <w:semiHidden/>
    <w:unhideWhenUsed/>
    <w:qFormat/>
    <w:rPr>
      <w:b/>
      <w:bCs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Plain Text"/>
    <w:basedOn w:val="a"/>
    <w:unhideWhenUsed/>
    <w:qFormat/>
    <w:rPr>
      <w:rFonts w:ascii="宋体" w:hAnsi="Courier New" w:cs="Courier New"/>
      <w:szCs w:val="21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1"/>
    <w:uiPriority w:val="22"/>
    <w:qFormat/>
    <w:rPr>
      <w:b/>
      <w:bCs/>
    </w:rPr>
  </w:style>
  <w:style w:type="character" w:styleId="ac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1"/>
    <w:link w:val="a9"/>
    <w:uiPriority w:val="99"/>
    <w:qFormat/>
    <w:rPr>
      <w:sz w:val="18"/>
      <w:szCs w:val="18"/>
    </w:rPr>
  </w:style>
  <w:style w:type="character" w:customStyle="1" w:styleId="Char2">
    <w:name w:val="页脚 Char"/>
    <w:basedOn w:val="a1"/>
    <w:link w:val="a8"/>
    <w:uiPriority w:val="99"/>
    <w:qFormat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qFormat/>
    <w:rPr>
      <w:rFonts w:ascii="Calibri" w:eastAsia="仿宋_GB2312" w:hAnsi="Calibri"/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="Calibri" w:eastAsia="仿宋_GB2312" w:hAnsi="Calibri"/>
      <w:kern w:val="2"/>
      <w:sz w:val="32"/>
      <w:szCs w:val="22"/>
    </w:rPr>
  </w:style>
  <w:style w:type="paragraph" w:customStyle="1" w:styleId="2">
    <w:name w:val="修订2"/>
    <w:hidden/>
    <w:uiPriority w:val="99"/>
    <w:semiHidden/>
    <w:qFormat/>
    <w:rPr>
      <w:rFonts w:ascii="Calibri" w:eastAsia="仿宋_GB2312" w:hAnsi="Calibri"/>
      <w:kern w:val="2"/>
      <w:sz w:val="32"/>
      <w:szCs w:val="22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="Calibri" w:eastAsia="仿宋_GB2312" w:hAnsi="Calibri" w:cs="Times New Roman"/>
      <w:kern w:val="2"/>
      <w:sz w:val="32"/>
      <w:szCs w:val="22"/>
    </w:rPr>
  </w:style>
  <w:style w:type="character" w:customStyle="1" w:styleId="Char">
    <w:name w:val="批注主题 Char"/>
    <w:basedOn w:val="Char0"/>
    <w:link w:val="a4"/>
    <w:uiPriority w:val="99"/>
    <w:semiHidden/>
    <w:qFormat/>
    <w:rPr>
      <w:rFonts w:ascii="Calibri" w:eastAsia="仿宋_GB2312" w:hAnsi="Calibri" w:cs="Times New Roman"/>
      <w:b/>
      <w:bCs/>
      <w:kern w:val="2"/>
      <w:sz w:val="32"/>
      <w:szCs w:val="22"/>
    </w:rPr>
  </w:style>
  <w:style w:type="paragraph" w:customStyle="1" w:styleId="3">
    <w:name w:val="修订3"/>
    <w:hidden/>
    <w:uiPriority w:val="99"/>
    <w:semiHidden/>
    <w:qFormat/>
    <w:rPr>
      <w:rFonts w:ascii="Calibri" w:eastAsia="仿宋_GB2312" w:hAnsi="Calibri"/>
      <w:kern w:val="2"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仿宋_GB2312" w:hAnsi="Calibri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qFormat/>
    <w:pPr>
      <w:spacing w:after="120"/>
    </w:pPr>
  </w:style>
  <w:style w:type="paragraph" w:styleId="5">
    <w:name w:val="toc 5"/>
    <w:basedOn w:val="a"/>
    <w:next w:val="a"/>
    <w:semiHidden/>
    <w:qFormat/>
    <w:pPr>
      <w:ind w:left="840"/>
      <w:jc w:val="left"/>
    </w:pPr>
    <w:rPr>
      <w:sz w:val="18"/>
      <w:szCs w:val="18"/>
    </w:rPr>
  </w:style>
  <w:style w:type="paragraph" w:styleId="a4">
    <w:name w:val="annotation subject"/>
    <w:basedOn w:val="a5"/>
    <w:next w:val="a5"/>
    <w:link w:val="Char"/>
    <w:uiPriority w:val="99"/>
    <w:semiHidden/>
    <w:unhideWhenUsed/>
    <w:qFormat/>
    <w:rPr>
      <w:b/>
      <w:bCs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Plain Text"/>
    <w:basedOn w:val="a"/>
    <w:unhideWhenUsed/>
    <w:qFormat/>
    <w:rPr>
      <w:rFonts w:ascii="宋体" w:hAnsi="Courier New" w:cs="Courier New"/>
      <w:szCs w:val="21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1"/>
    <w:uiPriority w:val="22"/>
    <w:qFormat/>
    <w:rPr>
      <w:b/>
      <w:bCs/>
    </w:rPr>
  </w:style>
  <w:style w:type="character" w:styleId="ac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1"/>
    <w:link w:val="a9"/>
    <w:uiPriority w:val="99"/>
    <w:qFormat/>
    <w:rPr>
      <w:sz w:val="18"/>
      <w:szCs w:val="18"/>
    </w:rPr>
  </w:style>
  <w:style w:type="character" w:customStyle="1" w:styleId="Char2">
    <w:name w:val="页脚 Char"/>
    <w:basedOn w:val="a1"/>
    <w:link w:val="a8"/>
    <w:uiPriority w:val="99"/>
    <w:qFormat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qFormat/>
    <w:rPr>
      <w:rFonts w:ascii="Calibri" w:eastAsia="仿宋_GB2312" w:hAnsi="Calibri"/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="Calibri" w:eastAsia="仿宋_GB2312" w:hAnsi="Calibri"/>
      <w:kern w:val="2"/>
      <w:sz w:val="32"/>
      <w:szCs w:val="22"/>
    </w:rPr>
  </w:style>
  <w:style w:type="paragraph" w:customStyle="1" w:styleId="2">
    <w:name w:val="修订2"/>
    <w:hidden/>
    <w:uiPriority w:val="99"/>
    <w:semiHidden/>
    <w:qFormat/>
    <w:rPr>
      <w:rFonts w:ascii="Calibri" w:eastAsia="仿宋_GB2312" w:hAnsi="Calibri"/>
      <w:kern w:val="2"/>
      <w:sz w:val="32"/>
      <w:szCs w:val="22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="Calibri" w:eastAsia="仿宋_GB2312" w:hAnsi="Calibri" w:cs="Times New Roman"/>
      <w:kern w:val="2"/>
      <w:sz w:val="32"/>
      <w:szCs w:val="22"/>
    </w:rPr>
  </w:style>
  <w:style w:type="character" w:customStyle="1" w:styleId="Char">
    <w:name w:val="批注主题 Char"/>
    <w:basedOn w:val="Char0"/>
    <w:link w:val="a4"/>
    <w:uiPriority w:val="99"/>
    <w:semiHidden/>
    <w:qFormat/>
    <w:rPr>
      <w:rFonts w:ascii="Calibri" w:eastAsia="仿宋_GB2312" w:hAnsi="Calibri" w:cs="Times New Roman"/>
      <w:b/>
      <w:bCs/>
      <w:kern w:val="2"/>
      <w:sz w:val="32"/>
      <w:szCs w:val="22"/>
    </w:rPr>
  </w:style>
  <w:style w:type="paragraph" w:customStyle="1" w:styleId="3">
    <w:name w:val="修订3"/>
    <w:hidden/>
    <w:uiPriority w:val="99"/>
    <w:semiHidden/>
    <w:qFormat/>
    <w:rPr>
      <w:rFonts w:ascii="Calibri" w:eastAsia="仿宋_GB2312" w:hAnsi="Calibri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664</Characters>
  <Application>Microsoft Office Word</Application>
  <DocSecurity>0</DocSecurity>
  <Lines>5</Lines>
  <Paragraphs>1</Paragraphs>
  <ScaleCrop>false</ScaleCrop>
  <Company>P R C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 ziwei</dc:creator>
  <cp:lastModifiedBy>Administrator</cp:lastModifiedBy>
  <cp:revision>3</cp:revision>
  <cp:lastPrinted>2022-10-10T01:54:00Z</cp:lastPrinted>
  <dcterms:created xsi:type="dcterms:W3CDTF">2022-11-10T12:07:00Z</dcterms:created>
  <dcterms:modified xsi:type="dcterms:W3CDTF">2022-11-10T12:08:00Z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2052-10.1.0.7396</vt:lpwstr>
  </property>
  <property fmtid="{D5CDD505-2E9C-101B-9397-08002B2CF9AE}" pid="3" name="ICV">
    <vt:lpwstr>CDDF9170028047EAA3357E0FB41B3EEC</vt:lpwstr>
  </property>
</Properties>
</file>