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widowControl/>
        <w:spacing w:line="600" w:lineRule="atLeast"/>
        <w:jc w:val="center"/>
        <w:rPr>
          <w:rFonts w:ascii="宋体" w:hAnsi="宋体" w:cs="宋体"/>
          <w:color w:val="000000"/>
          <w:kern w:val="0"/>
          <w:sz w:val="32"/>
          <w:szCs w:val="32"/>
        </w:rPr>
      </w:pPr>
      <w:r>
        <w:rPr>
          <w:rFonts w:ascii="宋体" w:hAnsi="宋体" w:cs="宋体" w:hint="eastAsia"/>
          <w:color w:val="000000"/>
          <w:kern w:val="0"/>
          <w:sz w:val="32"/>
          <w:szCs w:val="32"/>
          <w:bdr w:val="none" w:sz="0" w:space="0" w:color="auto" w:frame="1"/>
        </w:rPr>
        <w:t>中华人民共和国农业部公告</w:t>
      </w:r>
    </w:p>
    <w:p>
      <w:pPr>
        <w:widowControl/>
        <w:spacing w:line="600" w:lineRule="atLeast"/>
        <w:jc w:val="center"/>
        <w:rPr>
          <w:rFonts w:ascii="宋体" w:hAnsi="宋体" w:cs="宋体"/>
          <w:color w:val="000000"/>
          <w:kern w:val="0"/>
          <w:sz w:val="24"/>
        </w:rPr>
      </w:pPr>
      <w:r>
        <w:rPr>
          <w:rFonts w:ascii="宋体" w:hAnsi="宋体" w:cs="宋体" w:hint="eastAsia"/>
          <w:color w:val="000000"/>
          <w:kern w:val="0"/>
          <w:sz w:val="24"/>
          <w:bdr w:val="none" w:sz="0" w:space="0" w:color="auto" w:frame="1"/>
        </w:rPr>
        <w:t>第2308号</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 </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为规范食品中农药残留限量标准制定的程序和技术要求，确保农药残留标准制定的科学性，根据《中华人民共和国食品安全法》《中华人民共和国农产品质量安全法》和《农药管理条例》有关规定，我部制定了《食品中农药残留风险评估指南》和《食品中农药最大残留限量制定指南》，经第一届国家农药残留标准审评委员会第十二次会议审议通过，现予发布施行。</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 </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 </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 </w:t>
      </w:r>
    </w:p>
    <w:p>
      <w:pPr>
        <w:widowControl/>
        <w:spacing w:line="600" w:lineRule="atLeast"/>
        <w:ind w:firstLine="5427"/>
        <w:jc w:val="left"/>
        <w:rPr>
          <w:rFonts w:ascii="宋体" w:hAnsi="宋体" w:cs="宋体"/>
          <w:color w:val="000000"/>
          <w:kern w:val="0"/>
          <w:sz w:val="24"/>
        </w:rPr>
      </w:pPr>
      <w:r>
        <w:rPr>
          <w:rFonts w:ascii="宋体" w:hAnsi="宋体" w:cs="宋体" w:hint="eastAsia"/>
          <w:color w:val="000000"/>
          <w:kern w:val="0"/>
          <w:sz w:val="24"/>
          <w:bdr w:val="none" w:sz="0" w:space="0" w:color="auto" w:frame="1"/>
        </w:rPr>
        <w:t>农业部</w:t>
      </w:r>
    </w:p>
    <w:p>
      <w:pPr>
        <w:widowControl/>
        <w:spacing w:line="600" w:lineRule="atLeast"/>
        <w:ind w:firstLine="4806"/>
        <w:jc w:val="left"/>
        <w:rPr>
          <w:rFonts w:ascii="宋体" w:hAnsi="宋体" w:cs="宋体"/>
          <w:color w:val="000000"/>
          <w:kern w:val="0"/>
          <w:sz w:val="24"/>
        </w:rPr>
      </w:pPr>
      <w:r>
        <w:rPr>
          <w:rFonts w:ascii="宋体" w:hAnsi="宋体" w:cs="宋体" w:hint="eastAsia"/>
          <w:color w:val="000000"/>
          <w:kern w:val="0"/>
          <w:sz w:val="24"/>
          <w:bdr w:val="none" w:sz="0" w:space="0" w:color="auto" w:frame="1"/>
        </w:rPr>
        <w:t>2015年10月8日</w:t>
      </w:r>
    </w:p>
    <w:p>
      <w:pPr>
        <w:widowControl/>
        <w:spacing w:line="480" w:lineRule="atLeast"/>
        <w:jc w:val="left"/>
        <w:rPr>
          <w:rFonts w:ascii="宋体" w:hAnsi="宋体" w:cs="宋体" w:hint="eastAsia"/>
          <w:color w:val="000000"/>
          <w:kern w:val="0"/>
          <w:sz w:val="24"/>
        </w:rPr>
      </w:pPr>
    </w:p>
    <w:p>
      <w:pPr>
        <w:widowControl/>
        <w:spacing w:line="480" w:lineRule="atLeast"/>
        <w:jc w:val="left"/>
        <w:rPr>
          <w:rFonts w:ascii="宋体" w:hAnsi="宋体" w:cs="宋体" w:hint="eastAsia"/>
          <w:color w:val="000000"/>
          <w:kern w:val="0"/>
          <w:sz w:val="24"/>
        </w:rPr>
      </w:pPr>
    </w:p>
    <w:p>
      <w:pPr>
        <w:widowControl/>
        <w:spacing w:line="480" w:lineRule="atLeast"/>
        <w:jc w:val="left"/>
        <w:rPr>
          <w:rFonts w:ascii="宋体" w:hAnsi="宋体" w:cs="宋体" w:hint="eastAsia"/>
          <w:color w:val="000000"/>
          <w:kern w:val="0"/>
          <w:sz w:val="24"/>
        </w:rPr>
      </w:pPr>
    </w:p>
    <w:p>
      <w:pPr>
        <w:widowControl/>
        <w:spacing w:line="480" w:lineRule="atLeast"/>
        <w:jc w:val="left"/>
        <w:rPr>
          <w:rFonts w:ascii="宋体" w:hAnsi="宋体" w:cs="宋体" w:hint="eastAsia"/>
          <w:color w:val="000000"/>
          <w:kern w:val="0"/>
          <w:sz w:val="24"/>
        </w:rPr>
      </w:pPr>
    </w:p>
    <w:p>
      <w:pPr>
        <w:widowControl/>
        <w:spacing w:line="480" w:lineRule="atLeast"/>
        <w:jc w:val="left"/>
        <w:rPr>
          <w:rFonts w:ascii="宋体" w:hAnsi="宋体" w:cs="宋体" w:hint="eastAsia"/>
          <w:color w:val="000000"/>
          <w:kern w:val="0"/>
          <w:sz w:val="24"/>
        </w:rPr>
      </w:pPr>
    </w:p>
    <w:p>
      <w:pPr>
        <w:widowControl/>
        <w:spacing w:line="480" w:lineRule="atLeast"/>
        <w:jc w:val="left"/>
        <w:rPr>
          <w:rFonts w:ascii="宋体" w:hAnsi="宋体" w:cs="宋体" w:hint="eastAsia"/>
          <w:color w:val="000000"/>
          <w:kern w:val="0"/>
          <w:sz w:val="24"/>
        </w:rPr>
      </w:pPr>
    </w:p>
    <w:p>
      <w:pPr>
        <w:widowControl/>
        <w:spacing w:line="480" w:lineRule="atLeast"/>
        <w:jc w:val="left"/>
        <w:rPr>
          <w:rFonts w:ascii="宋体" w:hAnsi="宋体" w:cs="宋体" w:hint="eastAsia"/>
          <w:color w:val="000000"/>
          <w:kern w:val="0"/>
          <w:sz w:val="24"/>
        </w:rPr>
      </w:pPr>
    </w:p>
    <w:p>
      <w:pPr>
        <w:widowControl/>
        <w:spacing w:line="480" w:lineRule="atLeast"/>
        <w:jc w:val="left"/>
        <w:rPr>
          <w:rFonts w:ascii="宋体" w:hAnsi="宋体" w:cs="宋体" w:hint="eastAsia"/>
          <w:color w:val="000000"/>
          <w:kern w:val="0"/>
          <w:sz w:val="24"/>
        </w:rPr>
      </w:pPr>
    </w:p>
    <w:p>
      <w:pPr>
        <w:widowControl/>
        <w:spacing w:line="480" w:lineRule="atLeast"/>
        <w:jc w:val="left"/>
        <w:rPr>
          <w:rFonts w:ascii="宋体" w:hAnsi="宋体" w:cs="宋体" w:hint="eastAsia"/>
          <w:color w:val="000000"/>
          <w:kern w:val="0"/>
          <w:sz w:val="24"/>
        </w:rPr>
      </w:pPr>
    </w:p>
    <w:p>
      <w:pPr>
        <w:widowControl/>
        <w:spacing w:line="480" w:lineRule="atLeast"/>
        <w:jc w:val="left"/>
        <w:rPr>
          <w:rFonts w:ascii="宋体" w:hAnsi="宋体" w:cs="宋体" w:hint="eastAsia"/>
          <w:color w:val="000000"/>
          <w:kern w:val="0"/>
          <w:sz w:val="24"/>
        </w:rPr>
      </w:pPr>
      <w:bookmarkStart w:id="0" w:name="_GoBack"/>
      <w:bookmarkEnd w:id="0"/>
    </w:p>
    <w:p>
      <w:pPr>
        <w:widowControl/>
        <w:spacing w:line="600" w:lineRule="atLeast"/>
        <w:jc w:val="left"/>
        <w:rPr>
          <w:rFonts w:ascii="宋体" w:hAnsi="宋体" w:cs="宋体"/>
          <w:color w:val="000000"/>
          <w:kern w:val="0"/>
          <w:sz w:val="24"/>
        </w:rPr>
      </w:pPr>
      <w:r>
        <w:rPr>
          <w:rFonts w:ascii="宋体" w:hAnsi="宋体" w:cs="宋体"/>
          <w:color w:val="000000"/>
          <w:kern w:val="0"/>
          <w:sz w:val="24"/>
          <w:bdr w:val="none" w:sz="0" w:space="0" w:color="auto" w:frame="1"/>
        </w:rPr>
        <w:t> </w:t>
      </w:r>
    </w:p>
    <w:p>
      <w:pPr>
        <w:widowControl/>
        <w:spacing w:line="600" w:lineRule="atLeast"/>
        <w:jc w:val="center"/>
        <w:rPr>
          <w:rFonts w:ascii="宋体" w:hAnsi="宋体" w:cs="宋体"/>
          <w:color w:val="000000"/>
          <w:kern w:val="0"/>
          <w:sz w:val="24"/>
        </w:rPr>
      </w:pPr>
      <w:r>
        <w:rPr>
          <w:rFonts w:ascii="宋体" w:hAnsi="宋体" w:cs="宋体" w:hint="eastAsia"/>
          <w:b/>
          <w:bCs/>
          <w:color w:val="000000"/>
          <w:kern w:val="0"/>
          <w:sz w:val="24"/>
          <w:bdr w:val="none" w:sz="0" w:space="0" w:color="auto" w:frame="1"/>
        </w:rPr>
        <w:lastRenderedPageBreak/>
        <w:t>食品中农药残留风险评估指南</w:t>
      </w:r>
    </w:p>
    <w:p>
      <w:pPr>
        <w:widowControl/>
        <w:spacing w:line="600" w:lineRule="atLeast"/>
        <w:ind w:firstLine="623"/>
        <w:jc w:val="left"/>
        <w:rPr>
          <w:rFonts w:ascii="宋体" w:hAnsi="宋体" w:cs="宋体"/>
          <w:color w:val="000000"/>
          <w:kern w:val="0"/>
          <w:sz w:val="24"/>
        </w:rPr>
      </w:pPr>
      <w:r>
        <w:rPr>
          <w:rFonts w:ascii="宋体" w:hAnsi="宋体" w:cs="宋体"/>
          <w:b/>
          <w:bCs/>
          <w:color w:val="000000"/>
          <w:kern w:val="0"/>
          <w:sz w:val="24"/>
          <w:bdr w:val="none" w:sz="0" w:space="0" w:color="auto" w:frame="1"/>
        </w:rPr>
        <w:t> </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为确保农业生产安全、食品（包括食用农产品）质量安全，促进食品公平贸易，依据《中华人民共和国食品安全法》《中华人民共和国农产品质量安全法》《农药管理条例》《农药登记资料规定》，特制定本指南。</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食品（包括食用农产品）中农药残留风险评估是指通过分析农药毒理学和残留化学试验结果，根据消费者膳食结构，对因膳食摄入农药残留产生健康风险的可能性及程度进行科学评价。</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本指南用于指导我国食品中农药残留风险评估。</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一、毒理学评估</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农药毒理学评估是对农药的危害进行识别，并对其危害特征进行描述。通过评价毒物代谢动力学试验和毒理学试验结果，</w:t>
      </w:r>
      <w:bookmarkStart w:id="1" w:name="OLE_LINK8"/>
      <w:r>
        <w:rPr>
          <w:rFonts w:ascii="宋体" w:hAnsi="宋体" w:cs="宋体" w:hint="eastAsia"/>
          <w:color w:val="000000"/>
          <w:kern w:val="0"/>
          <w:sz w:val="24"/>
          <w:bdr w:val="none" w:sz="0" w:space="0" w:color="auto" w:frame="1"/>
        </w:rPr>
        <w:t>推荐出每日允许摄入量（ADI）和/或急性参考剂量（ARfD）。</w:t>
      </w:r>
      <w:bookmarkEnd w:id="1"/>
    </w:p>
    <w:p>
      <w:pPr>
        <w:widowControl/>
        <w:spacing w:line="600" w:lineRule="atLeast"/>
        <w:ind w:firstLine="623"/>
        <w:jc w:val="left"/>
        <w:rPr>
          <w:rFonts w:ascii="宋体" w:hAnsi="宋体" w:cs="宋体"/>
          <w:color w:val="000000"/>
          <w:kern w:val="0"/>
          <w:sz w:val="24"/>
        </w:rPr>
      </w:pPr>
      <w:r>
        <w:rPr>
          <w:rFonts w:ascii="宋体" w:hAnsi="宋体" w:cs="宋体" w:hint="eastAsia"/>
          <w:b/>
          <w:bCs/>
          <w:color w:val="000000"/>
          <w:kern w:val="0"/>
          <w:sz w:val="24"/>
          <w:bdr w:val="none" w:sz="0" w:space="0" w:color="auto" w:frame="1"/>
        </w:rPr>
        <w:t>（一）毒物代谢动力学评价</w:t>
      </w:r>
    </w:p>
    <w:p>
      <w:pPr>
        <w:widowControl/>
        <w:spacing w:line="600" w:lineRule="atLeast"/>
        <w:ind w:left="340" w:firstLine="620"/>
        <w:jc w:val="left"/>
        <w:rPr>
          <w:rFonts w:ascii="宋体" w:hAnsi="宋体" w:cs="宋体" w:hint="eastAsia"/>
          <w:color w:val="000000"/>
          <w:kern w:val="0"/>
          <w:sz w:val="24"/>
        </w:rPr>
      </w:pPr>
      <w:r>
        <w:rPr>
          <w:rFonts w:ascii="宋体" w:hAnsi="宋体" w:cs="宋体" w:hint="eastAsia"/>
          <w:color w:val="000000"/>
          <w:kern w:val="0"/>
          <w:sz w:val="24"/>
          <w:bdr w:val="none" w:sz="0" w:space="0" w:color="auto" w:frame="1"/>
        </w:rPr>
        <w:t>对农药在实验动物体内的吸收、分布、生物转化过程、排泄和蓄积等进行评价。</w:t>
      </w:r>
    </w:p>
    <w:p>
      <w:pPr>
        <w:widowControl/>
        <w:spacing w:line="600" w:lineRule="atLeast"/>
        <w:ind w:firstLine="623"/>
        <w:jc w:val="left"/>
        <w:rPr>
          <w:rFonts w:ascii="宋体" w:hAnsi="宋体" w:cs="宋体"/>
          <w:color w:val="000000"/>
          <w:kern w:val="0"/>
          <w:sz w:val="24"/>
        </w:rPr>
      </w:pPr>
      <w:r>
        <w:rPr>
          <w:rFonts w:ascii="宋体" w:hAnsi="宋体" w:cs="宋体" w:hint="eastAsia"/>
          <w:b/>
          <w:bCs/>
          <w:color w:val="000000"/>
          <w:kern w:val="0"/>
          <w:sz w:val="24"/>
          <w:bdr w:val="none" w:sz="0" w:space="0" w:color="auto" w:frame="1"/>
        </w:rPr>
        <w:t>（二）毒理学评价</w:t>
      </w:r>
    </w:p>
    <w:p>
      <w:pPr>
        <w:widowControl/>
        <w:spacing w:line="600" w:lineRule="atLeast"/>
        <w:ind w:firstLine="620"/>
        <w:jc w:val="left"/>
        <w:rPr>
          <w:rFonts w:ascii="宋体" w:hAnsi="宋体" w:cs="宋体"/>
          <w:color w:val="000000"/>
          <w:kern w:val="0"/>
          <w:sz w:val="24"/>
        </w:rPr>
      </w:pPr>
      <w:r>
        <w:rPr>
          <w:rFonts w:ascii="宋体" w:hAnsi="宋体" w:cs="宋体" w:hint="eastAsia"/>
          <w:color w:val="000000"/>
          <w:kern w:val="0"/>
          <w:sz w:val="24"/>
          <w:bdr w:val="none" w:sz="0" w:space="0" w:color="auto" w:frame="1"/>
        </w:rPr>
        <w:t>对农药及其有毒代谢产物的急性毒性、短期毒性、长期毒性、致癌性、致畸性、遗传毒性和生殖毒性等进行评价。</w:t>
      </w:r>
    </w:p>
    <w:p>
      <w:pPr>
        <w:widowControl/>
        <w:spacing w:line="600" w:lineRule="atLeast"/>
        <w:ind w:firstLine="623"/>
        <w:jc w:val="left"/>
        <w:rPr>
          <w:rFonts w:ascii="宋体" w:hAnsi="宋体" w:cs="宋体"/>
          <w:color w:val="000000"/>
          <w:kern w:val="0"/>
          <w:sz w:val="24"/>
        </w:rPr>
      </w:pPr>
      <w:r>
        <w:rPr>
          <w:rFonts w:ascii="宋体" w:hAnsi="宋体" w:cs="宋体" w:hint="eastAsia"/>
          <w:b/>
          <w:bCs/>
          <w:color w:val="000000"/>
          <w:kern w:val="0"/>
          <w:sz w:val="24"/>
          <w:bdr w:val="none" w:sz="0" w:space="0" w:color="auto" w:frame="1"/>
        </w:rPr>
        <w:t>（三）推荐每日允许摄入量和急性参考剂量</w:t>
      </w:r>
    </w:p>
    <w:p>
      <w:pPr>
        <w:widowControl/>
        <w:spacing w:line="600" w:lineRule="atLeast"/>
        <w:jc w:val="left"/>
        <w:rPr>
          <w:rFonts w:ascii="宋体" w:hAnsi="宋体" w:cs="宋体"/>
          <w:color w:val="000000"/>
          <w:kern w:val="0"/>
          <w:sz w:val="24"/>
        </w:rPr>
      </w:pPr>
      <w:bookmarkStart w:id="2" w:name="OLE_LINK7"/>
      <w:r>
        <w:rPr>
          <w:rFonts w:ascii="宋体" w:hAnsi="宋体" w:cs="宋体"/>
          <w:color w:val="000000"/>
          <w:kern w:val="0"/>
          <w:sz w:val="24"/>
          <w:bdr w:val="none" w:sz="0" w:space="0" w:color="auto" w:frame="1"/>
        </w:rPr>
        <w:t xml:space="preserve">　  </w:t>
      </w:r>
      <w:bookmarkEnd w:id="2"/>
      <w:r>
        <w:rPr>
          <w:rFonts w:ascii="宋体" w:hAnsi="宋体" w:cs="宋体" w:hint="eastAsia"/>
          <w:color w:val="000000"/>
          <w:kern w:val="0"/>
          <w:sz w:val="24"/>
          <w:bdr w:val="none" w:sz="0" w:space="0" w:color="auto" w:frame="1"/>
        </w:rPr>
        <w:t>根据毒物代谢动力学和毒理学评价结果，确定未观察到有害作用剂量水平（NOAEL），采用适当的不确定系数，制定每日允许摄入量（ADI）。对于有急性毒性作用的农药，制定急性参考剂量（ARfD）（具体参考《农药每日允许摄入量制定指南》和《农药急性参考剂量制定指南》）。</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二、残留化学评估</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残留化学评估是对农药及其有毒代谢物在食品和环境中的残留行为的评价。通过评价动植物代谢试验、田间残留试验、饲喂试验、加工过程和环境行为试验等试验结果，推荐规范残留试验中值（STMR）和最高残留值（HR）。</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（一）动植物代谢试验和残留物确定</w:t>
      </w:r>
    </w:p>
    <w:p>
      <w:pPr>
        <w:widowControl/>
        <w:spacing w:line="600" w:lineRule="atLeast"/>
        <w:jc w:val="left"/>
        <w:rPr>
          <w:rFonts w:ascii="宋体" w:hAnsi="宋体" w:cs="宋体"/>
          <w:color w:val="000000"/>
          <w:kern w:val="0"/>
          <w:sz w:val="24"/>
          <w:bdr w:val="none" w:sz="0" w:space="0" w:color="auto" w:frame="1"/>
        </w:rPr>
      </w:pPr>
      <w:r>
        <w:rPr>
          <w:rFonts w:ascii="宋体" w:hAnsi="宋体" w:cs="宋体"/>
          <w:color w:val="000000"/>
          <w:kern w:val="0"/>
          <w:sz w:val="24"/>
          <w:bdr w:val="none" w:sz="0" w:space="0" w:color="auto" w:frame="1"/>
        </w:rPr>
        <w:t xml:space="preserve">　  </w:t>
      </w:r>
      <w:r>
        <w:rPr>
          <w:rFonts w:ascii="宋体" w:hAnsi="宋体" w:cs="宋体" w:hint="eastAsia"/>
          <w:color w:val="000000"/>
          <w:kern w:val="0"/>
          <w:sz w:val="24"/>
          <w:bdr w:val="none" w:sz="0" w:space="0" w:color="auto" w:frame="1"/>
        </w:rPr>
        <w:t>参考毒理学评估结果，进行动植物代谢试验，对农药代谢规律、最终产物进行评价，确定残留物。</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（二）残留行为评价</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1.残留分析方法。对残留分析方法的有效性进行评价，主要包括正确度和精密度等。</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2.样品贮藏稳定性。对试验样品贮藏稳定性进行评价；必要时，包括提取、净化后待测试样的贮藏稳定性。</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3.规范残留试验。对试验设计中的农药使用范围、使用方法、施药剂量、使用次数和安全间隔期、样品采集、运输和预处理及试验结果等进行评价，提出规范残留试验中值（STMR）和最高残留值（HR）。必要时，包括对后茬作物农药残留评价。</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（三）加工过程评价</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对食品加工前后农药残留量变化进行评价，计算加工因子。必要时，包括对加工过程中农药性质变化的评价。</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（四）动物饲喂试验评价</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对动物饲喂造成动物产品中农药残留结果进行评价，主要处理方式包括饲料、直接给药和外用。</w:t>
      </w:r>
    </w:p>
    <w:p>
      <w:pPr>
        <w:widowControl/>
        <w:spacing w:line="600" w:lineRule="atLeast"/>
        <w:ind w:firstLine="620"/>
        <w:jc w:val="left"/>
        <w:rPr>
          <w:rFonts w:ascii="宋体" w:hAnsi="宋体" w:cs="宋体"/>
          <w:color w:val="000000"/>
          <w:kern w:val="0"/>
          <w:sz w:val="24"/>
          <w:bdr w:val="none" w:sz="0" w:space="0" w:color="auto" w:frame="1"/>
        </w:rPr>
      </w:pPr>
      <w:bookmarkStart w:id="3" w:name="OLE_LINK93"/>
      <w:r>
        <w:rPr>
          <w:rFonts w:ascii="宋体" w:hAnsi="宋体" w:cs="宋体" w:hint="eastAsia"/>
          <w:color w:val="000000"/>
          <w:kern w:val="0"/>
          <w:sz w:val="24"/>
          <w:bdr w:val="none" w:sz="0" w:space="0" w:color="auto" w:frame="1"/>
        </w:rPr>
        <w:t>三、膳食摄入评估</w:t>
      </w:r>
      <w:bookmarkEnd w:id="3"/>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膳食摄入评估是在毒理学和残留化学评估的基础上，根据我国居民膳食消费量，估算农药的膳食摄入量，包括长期和短期膳食摄入。</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（一）长期膳食摄入评估</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长期膳食摄入评估是依据国家卫生行政部门发布的中国居民营养与健康状况监测调查，或相关参考资料的数据，结合残留化学评估推荐的规范残留试验中值（STMR），计算国家估算每日摄入量（NEDI）。</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根据规范残留试验中值（STMR/STMR-P）或最大残留限量（MRL）计算某种农药国家估算每日摄入量（NEDI），计算公式如下：</w:t>
      </w:r>
    </w:p>
    <w:p>
      <w:pPr>
        <w:widowControl/>
        <w:spacing w:line="600" w:lineRule="atLeast"/>
        <w:ind w:left="1361" w:firstLine="48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NEDI =∑［STMR</w:t>
      </w:r>
      <w:r>
        <w:rPr>
          <w:rFonts w:ascii="宋体" w:hAnsi="宋体" w:cs="宋体" w:hint="eastAsia"/>
          <w:color w:val="000000"/>
          <w:kern w:val="0"/>
          <w:sz w:val="24"/>
          <w:bdr w:val="none" w:sz="0" w:space="0" w:color="auto" w:frame="1"/>
          <w:vertAlign w:val="subscript"/>
        </w:rPr>
        <w:t>i</w:t>
      </w:r>
      <w:r>
        <w:rPr>
          <w:rFonts w:ascii="宋体" w:hAnsi="宋体" w:cs="宋体" w:hint="eastAsia"/>
          <w:color w:val="000000"/>
          <w:kern w:val="0"/>
          <w:sz w:val="24"/>
          <w:bdr w:val="none" w:sz="0" w:space="0" w:color="auto" w:frame="1"/>
        </w:rPr>
        <w:t>（STMR-P</w:t>
      </w:r>
      <w:r>
        <w:rPr>
          <w:rFonts w:ascii="宋体" w:hAnsi="宋体" w:cs="宋体" w:hint="eastAsia"/>
          <w:color w:val="000000"/>
          <w:kern w:val="0"/>
          <w:sz w:val="24"/>
          <w:bdr w:val="none" w:sz="0" w:space="0" w:color="auto" w:frame="1"/>
          <w:vertAlign w:val="subscript"/>
        </w:rPr>
        <w:t>i</w:t>
      </w:r>
      <w:r>
        <w:rPr>
          <w:rFonts w:ascii="宋体" w:hAnsi="宋体" w:cs="宋体" w:hint="eastAsia"/>
          <w:color w:val="000000"/>
          <w:kern w:val="0"/>
          <w:sz w:val="24"/>
          <w:bdr w:val="none" w:sz="0" w:space="0" w:color="auto" w:frame="1"/>
        </w:rPr>
        <w:t>）× F</w:t>
      </w:r>
      <w:r>
        <w:rPr>
          <w:rFonts w:ascii="宋体" w:hAnsi="宋体" w:cs="宋体" w:hint="eastAsia"/>
          <w:color w:val="000000"/>
          <w:kern w:val="0"/>
          <w:sz w:val="24"/>
          <w:bdr w:val="none" w:sz="0" w:space="0" w:color="auto" w:frame="1"/>
          <w:vertAlign w:val="subscript"/>
        </w:rPr>
        <w:t>i</w:t>
      </w:r>
      <w:r>
        <w:rPr>
          <w:rFonts w:ascii="宋体" w:hAnsi="宋体" w:cs="宋体" w:hint="eastAsia"/>
          <w:color w:val="000000"/>
          <w:kern w:val="0"/>
          <w:sz w:val="24"/>
          <w:bdr w:val="none" w:sz="0" w:space="0" w:color="auto" w:frame="1"/>
        </w:rPr>
        <w:t>）］</w:t>
      </w:r>
    </w:p>
    <w:p>
      <w:pPr>
        <w:widowControl/>
        <w:spacing w:line="600" w:lineRule="atLeast"/>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式中：</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STMR</w:t>
      </w:r>
      <w:r>
        <w:rPr>
          <w:rFonts w:ascii="宋体" w:hAnsi="宋体" w:cs="宋体" w:hint="eastAsia"/>
          <w:color w:val="000000"/>
          <w:kern w:val="0"/>
          <w:sz w:val="24"/>
          <w:bdr w:val="none" w:sz="0" w:space="0" w:color="auto" w:frame="1"/>
          <w:vertAlign w:val="subscript"/>
        </w:rPr>
        <w:t>i</w:t>
      </w:r>
      <w:r>
        <w:rPr>
          <w:rFonts w:ascii="宋体" w:hAnsi="宋体" w:cs="宋体" w:hint="eastAsia"/>
          <w:color w:val="000000"/>
          <w:kern w:val="0"/>
          <w:sz w:val="24"/>
          <w:bdr w:val="none" w:sz="0" w:space="0" w:color="auto" w:frame="1"/>
        </w:rPr>
        <w:t>—农药在某一食品中的规范残留试验中值；</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STMR-P</w:t>
      </w:r>
      <w:r>
        <w:rPr>
          <w:rFonts w:ascii="宋体" w:hAnsi="宋体" w:cs="宋体" w:hint="eastAsia"/>
          <w:color w:val="000000"/>
          <w:kern w:val="0"/>
          <w:sz w:val="24"/>
          <w:bdr w:val="none" w:sz="0" w:space="0" w:color="auto" w:frame="1"/>
          <w:vertAlign w:val="subscript"/>
        </w:rPr>
        <w:t>i</w:t>
      </w:r>
      <w:r>
        <w:rPr>
          <w:rFonts w:ascii="宋体" w:hAnsi="宋体" w:cs="宋体" w:hint="eastAsia"/>
          <w:color w:val="000000"/>
          <w:kern w:val="0"/>
          <w:sz w:val="24"/>
          <w:bdr w:val="none" w:sz="0" w:space="0" w:color="auto" w:frame="1"/>
        </w:rPr>
        <w:t> —用加工因子校正的规范残留试验中值；</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F</w:t>
      </w:r>
      <w:r>
        <w:rPr>
          <w:rFonts w:ascii="宋体" w:hAnsi="宋体" w:cs="宋体" w:hint="eastAsia"/>
          <w:color w:val="000000"/>
          <w:kern w:val="0"/>
          <w:sz w:val="24"/>
          <w:bdr w:val="none" w:sz="0" w:space="0" w:color="auto" w:frame="1"/>
          <w:vertAlign w:val="subscript"/>
        </w:rPr>
        <w:t>i</w:t>
      </w:r>
      <w:r>
        <w:rPr>
          <w:rFonts w:ascii="宋体" w:hAnsi="宋体" w:cs="宋体" w:hint="eastAsia"/>
          <w:color w:val="000000"/>
          <w:kern w:val="0"/>
          <w:sz w:val="24"/>
          <w:bdr w:val="none" w:sz="0" w:space="0" w:color="auto" w:frame="1"/>
        </w:rPr>
        <w:t>—一般人群某一食品的消费量。</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计算NEDI时，如果没有合适的STMR或STMR-P，可以使用相应的MRL。</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（二）短期膳食摄入评估</w:t>
      </w:r>
    </w:p>
    <w:p>
      <w:pPr>
        <w:widowControl/>
        <w:spacing w:line="600" w:lineRule="atLeast"/>
        <w:ind w:firstLine="608"/>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短期膳食摄入评估是依据国家卫生行政部门发布的中国居民营养与健康状况监测调查，或相关参考资料的数据，基于每餐或一日内膳食结构和具体食品特征，结合残留化学评估推荐的规范残留试验中值（STMR）或最高残留值（HR），计算国家估算短期摄入量（NESTI）。</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四、评估结论</w:t>
      </w:r>
    </w:p>
    <w:p>
      <w:pPr>
        <w:widowControl/>
        <w:spacing w:line="600" w:lineRule="atLeast"/>
        <w:ind w:firstLine="608"/>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根据毒理学、残留化学和膳食摄入评估结果（每日允许摄入量、急性参考剂量、国家估算每日摄入量或国家估算短期摄入量），进行分析评价。一般情况下，当国家估算每日摄入量低于每日允许摄入量，国家估算短期摄入量低于急性参考剂量，则认为基于推荐的最大残留限量值的农药残留不会产生不可接受的健康风险。可向风险管理机构推荐最大残留限量值或风险管理建议。</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五、术语</w:t>
      </w:r>
      <w:bookmarkStart w:id="4" w:name="OLE_LINK54"/>
      <w:bookmarkEnd w:id="4"/>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（一）风险评估</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Risk Assessment：</w:t>
      </w:r>
      <w:r>
        <w:rPr>
          <w:rFonts w:ascii="宋体" w:hAnsi="宋体" w:cs="宋体" w:hint="eastAsia"/>
          <w:color w:val="000000"/>
          <w:kern w:val="0"/>
          <w:sz w:val="24"/>
          <w:bdr w:val="none" w:sz="0" w:space="0" w:color="auto" w:frame="1"/>
        </w:rPr>
        <w:t>是指对人类由于接触危险物质而对健康具有已知或可能的严重不良作用的科学评估。包括危害识别，危害特征描述，暴露评估和风险特征描述。</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（二）危害</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Hazard：</w:t>
      </w:r>
      <w:r>
        <w:rPr>
          <w:rFonts w:ascii="宋体" w:hAnsi="宋体" w:cs="宋体" w:hint="eastAsia"/>
          <w:color w:val="000000"/>
          <w:kern w:val="0"/>
          <w:sz w:val="24"/>
          <w:bdr w:val="none" w:sz="0" w:space="0" w:color="auto" w:frame="1"/>
        </w:rPr>
        <w:t>食品中潜在的会对人类健康产生不良作用的生物、化学或物理性因素或条件。</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（三）风险</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Risk：</w:t>
      </w:r>
      <w:r>
        <w:rPr>
          <w:rFonts w:ascii="宋体" w:hAnsi="宋体" w:cs="宋体" w:hint="eastAsia"/>
          <w:color w:val="000000"/>
          <w:kern w:val="0"/>
          <w:sz w:val="24"/>
          <w:bdr w:val="none" w:sz="0" w:space="0" w:color="auto" w:frame="1"/>
        </w:rPr>
        <w:t>是指食品中因存在某种危害而对人类健康或环境产生不良作用的可能性和严重性。</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（四）残留物 Residue Definition：</w:t>
      </w:r>
      <w:r>
        <w:rPr>
          <w:rFonts w:ascii="宋体" w:hAnsi="宋体" w:cs="宋体" w:hint="eastAsia"/>
          <w:color w:val="000000"/>
          <w:kern w:val="0"/>
          <w:sz w:val="24"/>
          <w:bdr w:val="none" w:sz="0" w:space="0" w:color="auto" w:frame="1"/>
        </w:rPr>
        <w:t>由于使用农药而在食品、农产品和动物饲料中出现的任何特定物质，包括被认为具有毒理学意义的农药衍生物，如农药转化物，代谢物、反应产物及杂质等。</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（五）最大残留限量</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Maximum Residue Limit（MRL）：</w:t>
      </w:r>
      <w:r>
        <w:rPr>
          <w:rFonts w:ascii="宋体" w:hAnsi="宋体" w:cs="宋体" w:hint="eastAsia"/>
          <w:color w:val="000000"/>
          <w:kern w:val="0"/>
          <w:sz w:val="24"/>
          <w:bdr w:val="none" w:sz="0" w:space="0" w:color="auto" w:frame="1"/>
        </w:rPr>
        <w:t>是在食品或农产品内部或表面法定允许的农药最大浓度，以每千克食品或农产品中农药残留的毫克数表示（mg/kg）。</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（六）每日允许摄入量</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Acceptable Daily Intake （ADI）：</w:t>
      </w:r>
      <w:r>
        <w:rPr>
          <w:rFonts w:ascii="宋体" w:hAnsi="宋体" w:cs="宋体" w:hint="eastAsia"/>
          <w:color w:val="000000"/>
          <w:kern w:val="0"/>
          <w:sz w:val="24"/>
          <w:bdr w:val="none" w:sz="0" w:space="0" w:color="auto" w:frame="1"/>
        </w:rPr>
        <w:t>人类终生每日摄入某物质，而不产生可检测到的危害健康的估计量，以每千克体重可摄入的量表示（mg/kg bw）。</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（七）急性参考剂量</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Acute Reference Dose（ARfD）：</w:t>
      </w:r>
      <w:r>
        <w:rPr>
          <w:rFonts w:ascii="宋体" w:hAnsi="宋体" w:cs="宋体" w:hint="eastAsia"/>
          <w:color w:val="000000"/>
          <w:kern w:val="0"/>
          <w:sz w:val="24"/>
          <w:bdr w:val="none" w:sz="0" w:space="0" w:color="auto" w:frame="1"/>
        </w:rPr>
        <w:t>人类在</w:t>
      </w:r>
      <w:r>
        <w:rPr>
          <w:rFonts w:ascii="宋体" w:hAnsi="宋体" w:cs="宋体"/>
          <w:color w:val="000000"/>
          <w:kern w:val="0"/>
          <w:sz w:val="24"/>
          <w:bdr w:val="none" w:sz="0" w:space="0" w:color="auto" w:frame="1"/>
        </w:rPr>
        <w:t>24</w:t>
      </w:r>
      <w:r>
        <w:rPr>
          <w:rFonts w:ascii="宋体" w:hAnsi="宋体" w:cs="宋体" w:hint="eastAsia"/>
          <w:color w:val="000000"/>
          <w:kern w:val="0"/>
          <w:sz w:val="24"/>
          <w:bdr w:val="none" w:sz="0" w:space="0" w:color="auto" w:frame="1"/>
        </w:rPr>
        <w:t>小时或更短时间内，通过膳食或饮水摄入某物质，而不产生可检测到的危害健康的估计量，以每千克体重可摄入的量表示（</w:t>
      </w:r>
      <w:r>
        <w:rPr>
          <w:rFonts w:ascii="宋体" w:hAnsi="宋体" w:cs="宋体"/>
          <w:color w:val="000000"/>
          <w:kern w:val="0"/>
          <w:sz w:val="24"/>
          <w:bdr w:val="none" w:sz="0" w:space="0" w:color="auto" w:frame="1"/>
        </w:rPr>
        <w:t>mg/kg bw</w:t>
      </w:r>
      <w:r>
        <w:rPr>
          <w:rFonts w:ascii="宋体" w:hAnsi="宋体" w:cs="宋体" w:hint="eastAsia"/>
          <w:color w:val="000000"/>
          <w:kern w:val="0"/>
          <w:sz w:val="24"/>
          <w:bdr w:val="none" w:sz="0" w:space="0" w:color="auto" w:frame="1"/>
        </w:rPr>
        <w:t>）。</w:t>
      </w:r>
    </w:p>
    <w:p>
      <w:pPr>
        <w:widowControl/>
        <w:shd w:val="clear" w:color="auto" w:fill="FFFFFF"/>
        <w:spacing w:line="600" w:lineRule="atLeast"/>
        <w:ind w:firstLine="64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（八）未观察到有害作用剂量水平 No-Observed- Adverse- Effect Level（NOAEL）：</w:t>
      </w:r>
      <w:r>
        <w:rPr>
          <w:rFonts w:ascii="宋体" w:hAnsi="宋体" w:cs="宋体" w:hint="eastAsia"/>
          <w:color w:val="000000"/>
          <w:kern w:val="0"/>
          <w:sz w:val="24"/>
          <w:bdr w:val="none" w:sz="0" w:space="0" w:color="auto" w:frame="1"/>
        </w:rPr>
        <w:t>在规定的试验条件下，用现有技术手段或检测指标，未能观察到与染毒有关的有害效应的受试物最高剂量或浓度。</w:t>
      </w:r>
    </w:p>
    <w:p>
      <w:pPr>
        <w:widowControl/>
        <w:shd w:val="clear" w:color="auto" w:fill="FFFFFF"/>
        <w:spacing w:line="600" w:lineRule="atLeast"/>
        <w:ind w:firstLine="64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（九）不确定系数 Uncertainty Factor （UF）：</w:t>
      </w:r>
      <w:r>
        <w:rPr>
          <w:rFonts w:ascii="宋体" w:hAnsi="宋体" w:cs="宋体" w:hint="eastAsia"/>
          <w:color w:val="000000"/>
          <w:kern w:val="0"/>
          <w:sz w:val="24"/>
          <w:bdr w:val="none" w:sz="0" w:space="0" w:color="auto" w:frame="1"/>
        </w:rPr>
        <w:t>在制定农药每日允许摄入量或急性参考剂量时，存在实验动物数据外推和数据质量等因素引起的不确定性，为了减少上述不确定性，一般将从实验动物毒性试验中得到的数据缩小一定的倍数得出每日允许摄入量或急性参考剂量，这种缩小的倍数即为不确定系数。</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（十）规范残留试验</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Supervised Field Trials：</w:t>
      </w:r>
      <w:r>
        <w:rPr>
          <w:rFonts w:ascii="宋体" w:hAnsi="宋体" w:cs="宋体" w:hint="eastAsia"/>
          <w:color w:val="000000"/>
          <w:kern w:val="0"/>
          <w:sz w:val="24"/>
          <w:bdr w:val="none" w:sz="0" w:space="0" w:color="auto" w:frame="1"/>
        </w:rPr>
        <w:t>是指在良好农业规范（GAP）和良好实验室规范（GLP）或相似条件下，为获取推荐使用的农药在可食用（或饲用）初级农产品和土壤中可能的最高残留值，以及这些农药在农产品、土壤（或水）中的消解动态而进行的试验。</w:t>
      </w:r>
    </w:p>
    <w:p>
      <w:pPr>
        <w:widowControl/>
        <w:spacing w:line="600" w:lineRule="atLeast"/>
        <w:ind w:firstLine="623"/>
        <w:jc w:val="left"/>
        <w:rPr>
          <w:rFonts w:ascii="宋体" w:hAnsi="宋体" w:cs="宋体"/>
          <w:color w:val="000000"/>
          <w:kern w:val="0"/>
          <w:sz w:val="24"/>
          <w:bdr w:val="none" w:sz="0" w:space="0" w:color="auto" w:frame="1"/>
        </w:rPr>
      </w:pPr>
      <w:bookmarkStart w:id="5" w:name="OLE_LINK22"/>
      <w:bookmarkStart w:id="6" w:name="OLE_LINK21"/>
      <w:bookmarkEnd w:id="5"/>
      <w:r>
        <w:rPr>
          <w:rFonts w:ascii="宋体" w:hAnsi="宋体" w:cs="宋体" w:hint="eastAsia"/>
          <w:b/>
          <w:bCs/>
          <w:color w:val="000000"/>
          <w:kern w:val="0"/>
          <w:sz w:val="24"/>
          <w:bdr w:val="none" w:sz="0" w:space="0" w:color="auto" w:frame="1"/>
        </w:rPr>
        <w:t>（十一）规范残留试验中值</w:t>
      </w:r>
      <w:bookmarkEnd w:id="6"/>
      <w:r>
        <w:rPr>
          <w:rFonts w:ascii="宋体" w:hAnsi="宋体" w:cs="宋体" w:hint="eastAsia"/>
          <w:b/>
          <w:bCs/>
          <w:color w:val="000000"/>
          <w:kern w:val="0"/>
          <w:sz w:val="24"/>
          <w:bdr w:val="none" w:sz="0" w:space="0" w:color="auto" w:frame="1"/>
        </w:rPr>
        <w:t>Supervised Trials Median Residue（STMR）：</w:t>
      </w:r>
      <w:r>
        <w:rPr>
          <w:rFonts w:ascii="宋体" w:hAnsi="宋体" w:cs="宋体" w:hint="eastAsia"/>
          <w:color w:val="000000"/>
          <w:kern w:val="0"/>
          <w:sz w:val="24"/>
          <w:bdr w:val="none" w:sz="0" w:space="0" w:color="auto" w:frame="1"/>
        </w:rPr>
        <w:t>多个登记残留试验组成的数据集的中位数。</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（十二）最高残留值</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Highest Residue（HR）：</w:t>
      </w:r>
      <w:r>
        <w:rPr>
          <w:rFonts w:ascii="宋体" w:hAnsi="宋体" w:cs="宋体" w:hint="eastAsia"/>
          <w:color w:val="000000"/>
          <w:kern w:val="0"/>
          <w:sz w:val="24"/>
          <w:bdr w:val="none" w:sz="0" w:space="0" w:color="auto" w:frame="1"/>
        </w:rPr>
        <w:t>多个登记残留试验组成的数据集的最大值。</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（十三）国家估算每日摄入量</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National Estimated Daily Intake（NEDI）：</w:t>
      </w:r>
      <w:r>
        <w:rPr>
          <w:rFonts w:ascii="宋体" w:hAnsi="宋体" w:cs="宋体" w:hint="eastAsia"/>
          <w:color w:val="000000"/>
          <w:kern w:val="0"/>
          <w:sz w:val="24"/>
          <w:bdr w:val="none" w:sz="0" w:space="0" w:color="auto" w:frame="1"/>
        </w:rPr>
        <w:t>是对长期农药残留摄入的估计。它是基于每人每日平均食物消费量和规范残留试验中值计算的，包括食品加工过程中残留变化、其它来源的膳食摄入和有毒理学意义的转化产物。以</w:t>
      </w:r>
      <w:r>
        <w:rPr>
          <w:rFonts w:ascii="宋体" w:hAnsi="宋体" w:cs="宋体"/>
          <w:color w:val="000000"/>
          <w:kern w:val="0"/>
          <w:sz w:val="24"/>
          <w:bdr w:val="none" w:sz="0" w:space="0" w:color="auto" w:frame="1"/>
        </w:rPr>
        <w:t>mg/kg bw</w:t>
      </w:r>
      <w:r>
        <w:rPr>
          <w:rFonts w:ascii="宋体" w:hAnsi="宋体" w:cs="宋体" w:hint="eastAsia"/>
          <w:color w:val="000000"/>
          <w:kern w:val="0"/>
          <w:sz w:val="24"/>
          <w:bdr w:val="none" w:sz="0" w:space="0" w:color="auto" w:frame="1"/>
        </w:rPr>
        <w:t>为单位。。</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（十四）国家估算短期摄入量</w:t>
      </w:r>
      <w:r>
        <w:rPr>
          <w:rFonts w:ascii="宋体" w:hAnsi="宋体" w:cs="宋体"/>
          <w:b/>
          <w:bCs/>
          <w:color w:val="000000"/>
          <w:kern w:val="0"/>
          <w:sz w:val="24"/>
          <w:bdr w:val="none" w:sz="0" w:space="0" w:color="auto" w:frame="1"/>
        </w:rPr>
        <w:t> </w:t>
      </w:r>
      <w:r>
        <w:rPr>
          <w:rFonts w:ascii="宋体" w:hAnsi="宋体" w:cs="宋体" w:hint="eastAsia"/>
          <w:b/>
          <w:bCs/>
          <w:color w:val="000000"/>
          <w:kern w:val="0"/>
          <w:sz w:val="24"/>
          <w:bdr w:val="none" w:sz="0" w:space="0" w:color="auto" w:frame="1"/>
        </w:rPr>
        <w:t>National Estimated Short Term Intake（NESTI）：</w:t>
      </w:r>
      <w:r>
        <w:rPr>
          <w:rFonts w:ascii="宋体" w:hAnsi="宋体" w:cs="宋体" w:hint="eastAsia"/>
          <w:color w:val="000000"/>
          <w:kern w:val="0"/>
          <w:sz w:val="24"/>
          <w:bdr w:val="none" w:sz="0" w:space="0" w:color="auto" w:frame="1"/>
        </w:rPr>
        <w:t>是对短期农药残留摄入的估计。它是基于每人每日（餐）某种食物摄入量和规范残留试验数据计算的，主要考虑食品可食部分的残留，包括有毒理学意义的转化产物。以</w:t>
      </w:r>
      <w:r>
        <w:rPr>
          <w:rFonts w:ascii="宋体" w:hAnsi="宋体" w:cs="宋体"/>
          <w:color w:val="000000"/>
          <w:kern w:val="0"/>
          <w:sz w:val="24"/>
          <w:bdr w:val="none" w:sz="0" w:space="0" w:color="auto" w:frame="1"/>
        </w:rPr>
        <w:t>mg/kg bw</w:t>
      </w:r>
      <w:r>
        <w:rPr>
          <w:rFonts w:ascii="宋体" w:hAnsi="宋体" w:cs="宋体" w:hint="eastAsia"/>
          <w:color w:val="000000"/>
          <w:kern w:val="0"/>
          <w:sz w:val="24"/>
          <w:bdr w:val="none" w:sz="0" w:space="0" w:color="auto" w:frame="1"/>
        </w:rPr>
        <w:t>为单位。</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（十五）农药使用的良好农业规范Good Agricultural Practice （GAP） for pesticide application:</w:t>
      </w:r>
      <w:r>
        <w:rPr>
          <w:rFonts w:ascii="宋体" w:hAnsi="宋体" w:cs="宋体"/>
          <w:b/>
          <w:bCs/>
          <w:color w:val="000000"/>
          <w:kern w:val="0"/>
          <w:sz w:val="24"/>
          <w:bdr w:val="none" w:sz="0" w:space="0" w:color="auto" w:frame="1"/>
        </w:rPr>
        <w:t> </w:t>
      </w:r>
      <w:r>
        <w:rPr>
          <w:rFonts w:ascii="宋体" w:hAnsi="宋体" w:cs="宋体" w:hint="eastAsia"/>
          <w:color w:val="000000"/>
          <w:kern w:val="0"/>
          <w:sz w:val="24"/>
          <w:bdr w:val="none" w:sz="0" w:space="0" w:color="auto" w:frame="1"/>
        </w:rPr>
        <w:t>农药使用的良好农业规范是指农药登记批准的农药使用方法、使用范围、使用剂量、使用次数和安全间隔期等。</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（十六）良好实验室规范Good Laboratory Practice （GLP）:</w:t>
      </w:r>
      <w:r>
        <w:rPr>
          <w:rFonts w:ascii="宋体" w:hAnsi="宋体" w:cs="宋体" w:hint="eastAsia"/>
          <w:color w:val="000000"/>
          <w:kern w:val="0"/>
          <w:sz w:val="24"/>
          <w:bdr w:val="none" w:sz="0" w:space="0" w:color="auto" w:frame="1"/>
        </w:rPr>
        <w:t>是一种有关非临床人类健康和环境安全试验的设计、实施、查验、记录、归档及报告等的组织过程和条件的质量体系。</w:t>
      </w:r>
    </w:p>
    <w:p>
      <w:pPr>
        <w:widowControl/>
        <w:spacing w:line="480" w:lineRule="atLeast"/>
        <w:jc w:val="left"/>
        <w:rPr>
          <w:rFonts w:ascii="宋体" w:hAnsi="宋体" w:cs="宋体" w:hint="eastAsia"/>
          <w:color w:val="000000"/>
          <w:kern w:val="0"/>
          <w:sz w:val="24"/>
          <w:bdr w:val="none" w:sz="0" w:space="0" w:color="auto" w:frame="1"/>
        </w:rPr>
      </w:pPr>
      <w:r>
        <w:rPr>
          <w:rFonts w:ascii="宋体" w:hAnsi="宋体" w:cs="宋体" w:hint="eastAsia"/>
          <w:color w:val="000000"/>
          <w:kern w:val="0"/>
          <w:sz w:val="24"/>
          <w:bdr w:val="none" w:sz="0" w:space="0" w:color="auto" w:frame="1"/>
        </w:rPr>
        <w:br w:type="textWrapping" w:clear="all"/>
      </w:r>
    </w:p>
    <w:p>
      <w:pPr>
        <w:widowControl/>
        <w:spacing w:line="600" w:lineRule="atLeast"/>
        <w:jc w:val="left"/>
        <w:rPr>
          <w:rFonts w:ascii="宋体" w:hAnsi="宋体" w:cs="宋体"/>
          <w:color w:val="000000"/>
          <w:kern w:val="0"/>
          <w:sz w:val="24"/>
          <w:bdr w:val="none" w:sz="0" w:space="0" w:color="auto" w:frame="1"/>
        </w:rPr>
      </w:pPr>
      <w:bookmarkStart w:id="7" w:name="OLE_LINK85"/>
      <w:bookmarkStart w:id="8" w:name="OLE_LINK4"/>
      <w:bookmarkStart w:id="9" w:name="OLE_LINK3"/>
      <w:bookmarkEnd w:id="7"/>
      <w:bookmarkEnd w:id="8"/>
      <w:r>
        <w:rPr>
          <w:rFonts w:ascii="宋体" w:hAnsi="宋体" w:cs="宋体" w:hint="eastAsia"/>
          <w:color w:val="000000"/>
          <w:kern w:val="0"/>
          <w:sz w:val="24"/>
          <w:bdr w:val="none" w:sz="0" w:space="0" w:color="auto" w:frame="1"/>
        </w:rPr>
        <w:t> </w:t>
      </w:r>
      <w:bookmarkEnd w:id="9"/>
    </w:p>
    <w:p>
      <w:pPr>
        <w:widowControl/>
        <w:spacing w:line="600" w:lineRule="atLeast"/>
        <w:jc w:val="center"/>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食品中农药最大残留限量制定指南</w:t>
      </w:r>
    </w:p>
    <w:p>
      <w:pPr>
        <w:widowControl/>
        <w:spacing w:line="600" w:lineRule="atLeast"/>
        <w:jc w:val="center"/>
        <w:rPr>
          <w:rFonts w:ascii="宋体" w:hAnsi="宋体" w:cs="宋体" w:hint="eastAsia"/>
          <w:color w:val="000000"/>
          <w:kern w:val="0"/>
          <w:sz w:val="24"/>
          <w:bdr w:val="none" w:sz="0" w:space="0" w:color="auto" w:frame="1"/>
        </w:rPr>
      </w:pPr>
      <w:r>
        <w:rPr>
          <w:rFonts w:ascii="宋体" w:hAnsi="宋体" w:cs="宋体"/>
          <w:b/>
          <w:bCs/>
          <w:color w:val="000000"/>
          <w:kern w:val="0"/>
          <w:sz w:val="24"/>
          <w:bdr w:val="none" w:sz="0" w:space="0" w:color="auto" w:frame="1"/>
        </w:rPr>
        <w:t> </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为保证农药最大残留限量制定科学、规范、合理，依据《中华人民共和国食品安全法》《中华人民共和国农产品质量安全法》《农药管理条例》《农药登记资料规定》，特制定本指南。</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食品（包括食用农产品）中农药最大残留限量制定是指根据农药使用的良好农业规范（GAP）和规范农药残留试验，推荐农药最大残留水平，参考农药残留风险评估结果，推荐最大残留限量（MRL）。</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本指南用于指导我国食品中农药最大残留限量的制修订。</w:t>
      </w:r>
    </w:p>
    <w:p>
      <w:pPr>
        <w:widowControl/>
        <w:spacing w:line="600" w:lineRule="atLeast"/>
        <w:ind w:firstLine="620"/>
        <w:jc w:val="left"/>
        <w:rPr>
          <w:rFonts w:ascii="宋体" w:hAnsi="宋体" w:cs="宋体"/>
          <w:color w:val="000000"/>
          <w:kern w:val="0"/>
          <w:sz w:val="24"/>
          <w:bdr w:val="none" w:sz="0" w:space="0" w:color="auto" w:frame="1"/>
        </w:rPr>
      </w:pPr>
      <w:bookmarkStart w:id="10" w:name="OLE_LINK26"/>
      <w:bookmarkStart w:id="11" w:name="OLE_LINK25"/>
      <w:bookmarkStart w:id="12" w:name="OLE_LINK63"/>
      <w:bookmarkEnd w:id="10"/>
      <w:bookmarkEnd w:id="11"/>
      <w:r>
        <w:rPr>
          <w:rFonts w:ascii="宋体" w:hAnsi="宋体" w:cs="宋体" w:hint="eastAsia"/>
          <w:color w:val="000000"/>
          <w:kern w:val="0"/>
          <w:sz w:val="24"/>
          <w:bdr w:val="none" w:sz="0" w:space="0" w:color="auto" w:frame="1"/>
        </w:rPr>
        <w:t>一、一般程序</w:t>
      </w:r>
      <w:bookmarkEnd w:id="12"/>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（一）确定规范残留试验中值（STMR）和最高残留值(HR)</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按照《农药登记资料规定》和《农药残留试验准则》（NY/T 788）要求，在农药使用的良好农业规范（GAP）条件下进行规范残留试验，根据残留试验结果，确定规范残留试验中值（STMR）和最高残留值(HR)。</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（二）确定每日允许摄入量（ADI）和/或急性参考剂量（ARfD）</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根据毒物代谢动力学和毒理学评价结果，制定每日允许摄入量。对于有急性毒性作用的农药，制定急性参考剂量。</w:t>
      </w:r>
    </w:p>
    <w:p>
      <w:pPr>
        <w:widowControl/>
        <w:spacing w:line="600" w:lineRule="atLeast"/>
        <w:ind w:firstLine="458"/>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（三）推荐农药最大残留限量（MRL）</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根据规范残留试验数据，确定最大残留水平，依据我国膳食消费数据，计算国家估算每日摄入量，或短期膳食摄入量，进行膳食摄入风险评估，推荐食品安全国家标准农药最大残留限量（MRL）。</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推荐的最大残留限量，低于10mg/kg的保留一位有效数字，高于10mg/kg,低于99mg/kg的保留两位有效数字，高于100mg/kg的用10的倍数表示，最大残留限量通常设置为0.01、0.02、0.03、0.05、0.07、0.1、0.2、0.3、0.5、0.7、1、2、3、5、7、10、15、20、25、30、40和50 mg/kg。</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依据《用于农药残留限量标准制定的作物分类》，可制定适用于同组作物上的最大残留限量。</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二、再评估</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发生以下情况时，应对制定的农药最大残留限量进行再评估：</w:t>
      </w:r>
    </w:p>
    <w:p>
      <w:pPr>
        <w:widowControl/>
        <w:spacing w:line="600" w:lineRule="atLeast"/>
        <w:ind w:left="63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（一）批准农药的良好农业规范（GAP）变化较大时；</w:t>
      </w:r>
    </w:p>
    <w:p>
      <w:pPr>
        <w:widowControl/>
        <w:spacing w:line="600" w:lineRule="atLeast"/>
        <w:ind w:left="63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（二）毒理学研究证明有新的潜在风险时；</w:t>
      </w:r>
    </w:p>
    <w:p>
      <w:pPr>
        <w:widowControl/>
        <w:spacing w:line="600" w:lineRule="atLeast"/>
        <w:ind w:left="63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（三）残留试验数据监测数据显示有新的摄入风险时。</w:t>
      </w:r>
    </w:p>
    <w:p>
      <w:pPr>
        <w:widowControl/>
        <w:spacing w:line="600" w:lineRule="atLeast"/>
        <w:ind w:left="63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（四）农药残留标准审评委员会认定的其他情况。</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再评估应遵从农药最大残留限量标准制定程序进行。</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三、周期评估</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为保证农药最大残留限量的时效性和有效性，实行农药最大残留限量周期评估制度，评估周期为15年，临时限量和再残留限量的评估周期为5年。</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四、特殊情况</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（一）临时限量</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当下述情形发生时，可以制定临时限量标准：</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1.每日允许摄入量是临时值时；</w:t>
      </w:r>
    </w:p>
    <w:p>
      <w:pPr>
        <w:widowControl/>
        <w:spacing w:line="600" w:lineRule="atLeast"/>
        <w:ind w:firstLine="645"/>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2.没有完善或可靠的膳食数据时；</w:t>
      </w:r>
    </w:p>
    <w:p>
      <w:pPr>
        <w:widowControl/>
        <w:spacing w:line="600" w:lineRule="atLeast"/>
        <w:ind w:firstLine="645"/>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3.没有符合要求的残留检验方法标准时；</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4.农药或农药/作物组合在我国没有登记，当存在国际贸易和进口检验需求时；</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5.在紧急情况下，农药被批准在未登记作物上使用时，制定紧急限量标准，并对其适用范围和时间进行限定；</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6.其他资料不完全满足评估程序要求时。</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临时限量标准的制定应参照农药最大残留限量标准制定程序进行。当获得新的数据时，应及时进行修订。</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（二）再残留限量</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对已经禁止使用且不易降解的农药，因在环境中长期稳定存在而引起在作物上的残留，需要制定再残留限量（EMRL）。再残留限量是通过实施国家监测计划获得的残留数据进行风险评估制修订的。</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（三）豁免残留限量</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当存在下述情形时，豁免制定残留限量：</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1．当农药毒性很低，按照标签规定使用后，食品中农药残留不会对健康产生不可接受风险时；</w:t>
      </w:r>
    </w:p>
    <w:p>
      <w:pPr>
        <w:widowControl/>
        <w:spacing w:line="600" w:lineRule="atLeast"/>
        <w:ind w:left="643"/>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2．当农药的使用仅带来微小的膳食摄入风险时。</w:t>
      </w:r>
    </w:p>
    <w:p>
      <w:pPr>
        <w:widowControl/>
        <w:spacing w:line="600" w:lineRule="atLeast"/>
        <w:ind w:firstLine="645"/>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豁免制定残留限量的农药需要根据具体农药的毒性和使用方法逐个进行风险评估确定。</w:t>
      </w:r>
    </w:p>
    <w:p>
      <w:pPr>
        <w:widowControl/>
        <w:spacing w:line="600" w:lineRule="atLeast"/>
        <w:ind w:firstLine="645"/>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（四）香料/调味品产品中最大残留限量</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在没有规范残留试验数据的条件下，可以使用监测数据，但需要提供详细的种植和生产情况以及足够的监测数据，制定程序参照农药最大残留限量标准制定。</w:t>
      </w:r>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五、术语</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（一）农药使用的良好农业规范 Good Agricultural Practice（GAP） for pesticide application：</w:t>
      </w:r>
      <w:r>
        <w:rPr>
          <w:rFonts w:ascii="宋体" w:hAnsi="宋体" w:cs="宋体" w:hint="eastAsia"/>
          <w:color w:val="000000"/>
          <w:kern w:val="0"/>
          <w:sz w:val="24"/>
          <w:bdr w:val="none" w:sz="0" w:space="0" w:color="auto" w:frame="1"/>
        </w:rPr>
        <w:t>农药使用的良好农业规范是指农药登记批准的农药使用方法、使用范围、使用剂量、使用次数和安全间隔期等。</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（二）规范残留试验Supervised Field Trials：</w:t>
      </w:r>
      <w:r>
        <w:rPr>
          <w:rFonts w:ascii="宋体" w:hAnsi="宋体" w:cs="宋体" w:hint="eastAsia"/>
          <w:color w:val="000000"/>
          <w:kern w:val="0"/>
          <w:sz w:val="24"/>
          <w:bdr w:val="none" w:sz="0" w:space="0" w:color="auto" w:frame="1"/>
        </w:rPr>
        <w:t>是指在良好农业规范（GAP）和良好实验室规范（GLP）或相似条件下，为获取推荐使用的农药在可食用（或饲用）初级农产品和土壤中可能的最高残留值，以及这些农药在农产品、土壤（或水）中的消解动态而进行的试验。</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（三）最大残留限量 Maximum Residue Limit（MRL)：</w:t>
      </w:r>
      <w:r>
        <w:rPr>
          <w:rFonts w:ascii="宋体" w:hAnsi="宋体" w:cs="宋体" w:hint="eastAsia"/>
          <w:color w:val="000000"/>
          <w:kern w:val="0"/>
          <w:sz w:val="24"/>
          <w:bdr w:val="none" w:sz="0" w:space="0" w:color="auto" w:frame="1"/>
        </w:rPr>
        <w:t>是在食品或农产品内部或表面法定允许的农药最大浓度，以每千克食品或农产品中农药残留的毫克数表示（mg/kg）。</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（四）再残留限量（EMRL）：</w:t>
      </w:r>
      <w:r>
        <w:rPr>
          <w:rFonts w:ascii="宋体" w:hAnsi="宋体" w:cs="宋体" w:hint="eastAsia"/>
          <w:color w:val="000000"/>
          <w:kern w:val="0"/>
          <w:sz w:val="24"/>
          <w:bdr w:val="none" w:sz="0" w:space="0" w:color="auto" w:frame="1"/>
        </w:rPr>
        <w:t>一些持久性农药虽然已禁用，但还长期存在环境中，从而再次在食品中形成残留，为控制这类农药残留物对食品的污染而制定其在食品中的残留限量，以每千克食品或农产品中农药残留的毫克数表示（</w:t>
      </w:r>
      <w:r>
        <w:rPr>
          <w:rFonts w:ascii="宋体" w:hAnsi="宋体" w:cs="宋体"/>
          <w:color w:val="000000"/>
          <w:kern w:val="0"/>
          <w:sz w:val="24"/>
          <w:bdr w:val="none" w:sz="0" w:space="0" w:color="auto" w:frame="1"/>
        </w:rPr>
        <w:t>mg/kg</w:t>
      </w:r>
      <w:r>
        <w:rPr>
          <w:rFonts w:ascii="宋体" w:hAnsi="宋体" w:cs="宋体" w:hint="eastAsia"/>
          <w:color w:val="000000"/>
          <w:kern w:val="0"/>
          <w:sz w:val="24"/>
          <w:bdr w:val="none" w:sz="0" w:space="0" w:color="auto" w:frame="1"/>
        </w:rPr>
        <w:t>）。</w:t>
      </w:r>
    </w:p>
    <w:p>
      <w:pPr>
        <w:widowControl/>
        <w:spacing w:line="600" w:lineRule="atLeast"/>
        <w:ind w:firstLine="623"/>
        <w:jc w:val="left"/>
        <w:rPr>
          <w:rFonts w:ascii="宋体" w:hAnsi="宋体" w:cs="宋体"/>
          <w:color w:val="000000"/>
          <w:kern w:val="0"/>
          <w:sz w:val="24"/>
          <w:bdr w:val="none" w:sz="0" w:space="0" w:color="auto" w:frame="1"/>
        </w:rPr>
      </w:pPr>
      <w:bookmarkStart w:id="13" w:name="OLE_LINK14"/>
      <w:bookmarkStart w:id="14" w:name="OLE_LINK13"/>
      <w:bookmarkEnd w:id="13"/>
      <w:r>
        <w:rPr>
          <w:rFonts w:ascii="宋体" w:hAnsi="宋体" w:cs="宋体" w:hint="eastAsia"/>
          <w:b/>
          <w:bCs/>
          <w:color w:val="000000"/>
          <w:kern w:val="0"/>
          <w:sz w:val="24"/>
          <w:bdr w:val="none" w:sz="0" w:space="0" w:color="auto" w:frame="1"/>
        </w:rPr>
        <w:t>（五）每日允许摄入量 Acceptable Daily Intake (ADI)：</w:t>
      </w:r>
      <w:bookmarkEnd w:id="14"/>
      <w:r>
        <w:rPr>
          <w:rFonts w:ascii="宋体" w:hAnsi="宋体" w:cs="宋体" w:hint="eastAsia"/>
          <w:color w:val="000000"/>
          <w:kern w:val="0"/>
          <w:sz w:val="24"/>
          <w:bdr w:val="none" w:sz="0" w:space="0" w:color="auto" w:frame="1"/>
        </w:rPr>
        <w:t>人类终生每日摄入某物质，而不产生可检测到的危害健康的估计量，以每千克体重可摄入的量表示（mg/kg bw）。</w:t>
      </w:r>
    </w:p>
    <w:p>
      <w:pPr>
        <w:widowControl/>
        <w:shd w:val="clear" w:color="auto" w:fill="FFFFFF"/>
        <w:spacing w:line="600" w:lineRule="atLeast"/>
        <w:ind w:firstLine="640"/>
        <w:jc w:val="left"/>
        <w:rPr>
          <w:rFonts w:ascii="宋体" w:hAnsi="宋体" w:cs="宋体"/>
          <w:color w:val="000000"/>
          <w:kern w:val="0"/>
          <w:sz w:val="24"/>
          <w:bdr w:val="none" w:sz="0" w:space="0" w:color="auto" w:frame="1"/>
        </w:rPr>
      </w:pPr>
      <w:bookmarkStart w:id="15" w:name="OLE_LINK15"/>
      <w:r>
        <w:rPr>
          <w:rFonts w:ascii="宋体" w:hAnsi="宋体" w:cs="宋体" w:hint="eastAsia"/>
          <w:b/>
          <w:bCs/>
          <w:color w:val="000000"/>
          <w:kern w:val="0"/>
          <w:sz w:val="24"/>
          <w:bdr w:val="none" w:sz="0" w:space="0" w:color="auto" w:frame="1"/>
        </w:rPr>
        <w:t>（六）急性参考剂量 Acute Reference Dose (ARfD)：</w:t>
      </w:r>
      <w:bookmarkEnd w:id="15"/>
    </w:p>
    <w:p>
      <w:pPr>
        <w:widowControl/>
        <w:spacing w:line="600" w:lineRule="atLeast"/>
        <w:ind w:firstLine="620"/>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人类在24小时或更短时间内，通过膳食或饮水摄入某物质，而不产生可检测到的危害健康的估计量，以每千克体重可摄入的量表示（mg/kg bw）。</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（七）风险评估Risk Assessment：</w:t>
      </w:r>
      <w:r>
        <w:rPr>
          <w:rFonts w:ascii="宋体" w:hAnsi="宋体" w:cs="宋体" w:hint="eastAsia"/>
          <w:color w:val="000000"/>
          <w:kern w:val="0"/>
          <w:sz w:val="24"/>
          <w:bdr w:val="none" w:sz="0" w:space="0" w:color="auto" w:frame="1"/>
        </w:rPr>
        <w:t>是指对人类由于接触危险物质而对健康具有已知或可能的严重不良作用的科学评估。包括危害确认，危害特征描述，暴露评估和风险表述。</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（八）规范残留试验中值Supervised Trials Median Residue（STMR）：</w:t>
      </w:r>
      <w:r>
        <w:rPr>
          <w:rFonts w:ascii="宋体" w:hAnsi="宋体" w:cs="宋体" w:hint="eastAsia"/>
          <w:color w:val="000000"/>
          <w:kern w:val="0"/>
          <w:sz w:val="24"/>
          <w:bdr w:val="none" w:sz="0" w:space="0" w:color="auto" w:frame="1"/>
        </w:rPr>
        <w:t>有效残留数据的中间值。</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（九）最高残留值 Highest Residue（HR）：</w:t>
      </w:r>
      <w:r>
        <w:rPr>
          <w:rFonts w:ascii="宋体" w:hAnsi="宋体" w:cs="宋体" w:hint="eastAsia"/>
          <w:color w:val="000000"/>
          <w:kern w:val="0"/>
          <w:sz w:val="24"/>
          <w:bdr w:val="none" w:sz="0" w:space="0" w:color="auto" w:frame="1"/>
        </w:rPr>
        <w:t>有效残留数据的最大值。</w:t>
      </w:r>
    </w:p>
    <w:p>
      <w:pPr>
        <w:widowControl/>
        <w:spacing w:line="600" w:lineRule="atLeast"/>
        <w:ind w:firstLine="623"/>
        <w:jc w:val="left"/>
        <w:rPr>
          <w:rFonts w:ascii="宋体" w:hAnsi="宋体" w:cs="宋体"/>
          <w:color w:val="000000"/>
          <w:kern w:val="0"/>
          <w:sz w:val="24"/>
          <w:bdr w:val="none" w:sz="0" w:space="0" w:color="auto" w:frame="1"/>
        </w:rPr>
      </w:pPr>
      <w:bookmarkStart w:id="16" w:name="OLE_LINK24"/>
      <w:r>
        <w:rPr>
          <w:rFonts w:ascii="宋体" w:hAnsi="宋体" w:cs="宋体" w:hint="eastAsia"/>
          <w:b/>
          <w:bCs/>
          <w:color w:val="000000"/>
          <w:kern w:val="0"/>
          <w:sz w:val="24"/>
          <w:bdr w:val="none" w:sz="0" w:space="0" w:color="auto" w:frame="1"/>
        </w:rPr>
        <w:t>（十）国家估算每日摄入量 National Estimated Daily Intake (NEDI)：</w:t>
      </w:r>
      <w:bookmarkEnd w:id="16"/>
      <w:r>
        <w:rPr>
          <w:rFonts w:ascii="宋体" w:hAnsi="宋体" w:cs="宋体" w:hint="eastAsia"/>
          <w:color w:val="000000"/>
          <w:kern w:val="0"/>
          <w:sz w:val="24"/>
          <w:bdr w:val="none" w:sz="0" w:space="0" w:color="auto" w:frame="1"/>
        </w:rPr>
        <w:t>是对长期农药残留摄入的估计。它是基于每人每日平均食物消费量和规范残留试验中值计算的，包括食品加工过程中残留变化，其它来源的膳食摄入和有毒理学意义的转化产物。以毫克为单位。</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（十一）国家估算短期摄入量 National Estimated Short Term Intake（NESTI）：</w:t>
      </w:r>
      <w:r>
        <w:rPr>
          <w:rFonts w:ascii="宋体" w:hAnsi="宋体" w:cs="宋体" w:hint="eastAsia"/>
          <w:color w:val="000000"/>
          <w:kern w:val="0"/>
          <w:sz w:val="24"/>
          <w:bdr w:val="none" w:sz="0" w:space="0" w:color="auto" w:frame="1"/>
        </w:rPr>
        <w:t>是对短期农药残留摄入的估计。它是基于每人每日（餐）某种食物摄入量和规范残留试验的最高残留值计算的，主要考虑食品可食部分的残留，包括其它来源的膳食摄入和有毒理学意义的转化产物，以每千克体重的毫克数为单位。</w:t>
      </w:r>
    </w:p>
    <w:p>
      <w:pPr>
        <w:widowControl/>
        <w:spacing w:line="600" w:lineRule="atLeast"/>
        <w:ind w:firstLine="623"/>
        <w:jc w:val="left"/>
        <w:rPr>
          <w:rFonts w:ascii="宋体" w:hAnsi="宋体" w:cs="宋体"/>
          <w:color w:val="000000"/>
          <w:kern w:val="0"/>
          <w:sz w:val="24"/>
          <w:bdr w:val="none" w:sz="0" w:space="0" w:color="auto" w:frame="1"/>
        </w:rPr>
      </w:pPr>
      <w:r>
        <w:rPr>
          <w:rFonts w:ascii="宋体" w:hAnsi="宋体" w:cs="宋体" w:hint="eastAsia"/>
          <w:b/>
          <w:bCs/>
          <w:color w:val="000000"/>
          <w:kern w:val="0"/>
          <w:sz w:val="24"/>
          <w:bdr w:val="none" w:sz="0" w:space="0" w:color="auto" w:frame="1"/>
        </w:rPr>
        <w:t>（十二）良好实验室规范Good Laboratory Practice （GLP）:</w:t>
      </w:r>
      <w:r>
        <w:rPr>
          <w:rFonts w:ascii="宋体" w:hAnsi="宋体" w:cs="宋体" w:hint="eastAsia"/>
          <w:color w:val="000000"/>
          <w:kern w:val="0"/>
          <w:sz w:val="24"/>
          <w:bdr w:val="none" w:sz="0" w:space="0" w:color="auto" w:frame="1"/>
        </w:rPr>
        <w:t>是一种有关非临床人类健康和环境安全试验的设计、实施、查验、记录、归档及报告等的组织过程和条件的质量体系。</w:t>
      </w:r>
    </w:p>
    <w:p>
      <w:pPr>
        <w:widowControl/>
        <w:spacing w:line="600" w:lineRule="atLeast"/>
        <w:jc w:val="left"/>
        <w:rPr>
          <w:rFonts w:ascii="宋体" w:hAnsi="宋体" w:cs="宋体"/>
          <w:color w:val="000000"/>
          <w:kern w:val="0"/>
          <w:sz w:val="24"/>
          <w:bdr w:val="none" w:sz="0" w:space="0" w:color="auto" w:frame="1"/>
        </w:rPr>
      </w:pPr>
      <w:r>
        <w:rPr>
          <w:rFonts w:ascii="宋体" w:hAnsi="宋体" w:cs="宋体" w:hint="eastAsia"/>
          <w:color w:val="000000"/>
          <w:kern w:val="0"/>
          <w:sz w:val="24"/>
          <w:bdr w:val="none" w:sz="0" w:space="0" w:color="auto" w:frame="1"/>
        </w:rPr>
        <w:t> </w:t>
      </w:r>
    </w:p>
    <w:p>
      <w:pPr>
        <w:rPr>
          <w:rFonts w:ascii="宋体" w:hAnsi="宋体"/>
          <w:sz w:val="24"/>
        </w:rPr>
      </w:pP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Pr>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Pr>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74421">
      <w:bodyDiv w:val="1"/>
      <w:marLeft w:val="0"/>
      <w:marRight w:val="0"/>
      <w:marTop w:val="0"/>
      <w:marBottom w:val="0"/>
      <w:divBdr>
        <w:top w:val="none" w:sz="0" w:space="0" w:color="auto"/>
        <w:left w:val="none" w:sz="0" w:space="0" w:color="auto"/>
        <w:bottom w:val="none" w:sz="0" w:space="0" w:color="auto"/>
        <w:right w:val="none" w:sz="0" w:space="0" w:color="auto"/>
      </w:divBdr>
      <w:divsChild>
        <w:div w:id="882450293">
          <w:marLeft w:val="0"/>
          <w:marRight w:val="0"/>
          <w:marTop w:val="450"/>
          <w:marBottom w:val="450"/>
          <w:divBdr>
            <w:top w:val="none" w:sz="0" w:space="8" w:color="auto"/>
            <w:left w:val="none" w:sz="0" w:space="0" w:color="auto"/>
            <w:bottom w:val="single" w:sz="6" w:space="8" w:color="DDDDDD"/>
            <w:right w:val="none" w:sz="0" w:space="0" w:color="auto"/>
          </w:divBdr>
        </w:div>
        <w:div w:id="1718162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954</Words>
  <Characters>5439</Characters>
  <Application>Microsoft Office Word</Application>
  <DocSecurity>0</DocSecurity>
  <Lines>45</Lines>
  <Paragraphs>12</Paragraphs>
  <ScaleCrop>false</ScaleCrop>
  <Company>Lenovo</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2022-09-22T13:56:00Z</dcterms:created>
  <dcterms:modified xsi:type="dcterms:W3CDTF">2022-09-23T11:38:00Z</dcterms:modified>
</cp:coreProperties>
</file>